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D0DD" w14:textId="77777777" w:rsidR="00F77B06" w:rsidRDefault="00F77B06">
      <w:pPr>
        <w:spacing w:after="120"/>
      </w:pPr>
    </w:p>
    <w:p w14:paraId="699AA3B2" w14:textId="77777777" w:rsidR="00F77B06" w:rsidRDefault="00F77B06">
      <w:pPr>
        <w:spacing w:after="120"/>
      </w:pPr>
    </w:p>
    <w:p w14:paraId="6C86D5B4" w14:textId="77777777" w:rsidR="00F77B06" w:rsidRDefault="00F77B06">
      <w:pPr>
        <w:spacing w:after="120"/>
      </w:pPr>
    </w:p>
    <w:p w14:paraId="0BC145C4" w14:textId="77777777" w:rsidR="00F77B06" w:rsidRDefault="00F77B06">
      <w:pPr>
        <w:spacing w:after="120"/>
      </w:pPr>
    </w:p>
    <w:p w14:paraId="109E2EEC" w14:textId="77777777" w:rsidR="00F77B06" w:rsidRDefault="00F77B06">
      <w:pPr>
        <w:spacing w:after="120"/>
      </w:pPr>
    </w:p>
    <w:p w14:paraId="1F7AC87C" w14:textId="77777777" w:rsidR="00F77B06" w:rsidRDefault="00F77B06">
      <w:pPr>
        <w:spacing w:after="120"/>
      </w:pPr>
    </w:p>
    <w:p w14:paraId="446A1217" w14:textId="2C165493" w:rsidR="00F77B06" w:rsidRDefault="00A3352E">
      <w:pPr>
        <w:spacing w:after="80"/>
        <w:jc w:val="center"/>
      </w:pPr>
      <w:r>
        <w:rPr>
          <w:b/>
          <w:bCs/>
          <w:caps/>
          <w:color w:val="C5960C"/>
        </w:rPr>
        <w:t>dr dennis price + ai</w:t>
      </w:r>
    </w:p>
    <w:p w14:paraId="3444DC6A" w14:textId="77777777" w:rsidR="00F77B06" w:rsidRDefault="00000000">
      <w:pPr>
        <w:pBdr>
          <w:bottom w:val="single" w:sz="6" w:space="12" w:color="C5960C"/>
        </w:pBdr>
        <w:spacing w:after="400"/>
        <w:jc w:val="center"/>
      </w:pPr>
      <w:r>
        <w:rPr>
          <w:caps/>
          <w:color w:val="666666"/>
          <w:sz w:val="20"/>
          <w:szCs w:val="20"/>
        </w:rPr>
        <w:t>POLICY PAPER</w:t>
      </w:r>
    </w:p>
    <w:p w14:paraId="50C8A31A" w14:textId="77777777" w:rsidR="00F77B06" w:rsidRDefault="00F77B06">
      <w:pPr>
        <w:spacing w:after="120"/>
      </w:pPr>
    </w:p>
    <w:p w14:paraId="3C25F90F" w14:textId="77777777" w:rsidR="00F77B06" w:rsidRDefault="00000000">
      <w:pPr>
        <w:spacing w:after="200"/>
        <w:jc w:val="center"/>
      </w:pPr>
      <w:r>
        <w:rPr>
          <w:b/>
          <w:bCs/>
          <w:color w:val="1B2A4A"/>
          <w:sz w:val="52"/>
          <w:szCs w:val="52"/>
        </w:rPr>
        <w:t>POWERING AUSTRALIA’S FUTURE</w:t>
      </w:r>
    </w:p>
    <w:p w14:paraId="17D07B69" w14:textId="77777777" w:rsidR="00F77B06" w:rsidRDefault="00000000">
      <w:pPr>
        <w:spacing w:after="120"/>
        <w:jc w:val="center"/>
      </w:pPr>
      <w:r>
        <w:rPr>
          <w:color w:val="1B2A4A"/>
          <w:sz w:val="30"/>
          <w:szCs w:val="30"/>
        </w:rPr>
        <w:t>A Hybrid Energy Strategy for Prosperity,</w:t>
      </w:r>
    </w:p>
    <w:p w14:paraId="341B1F25" w14:textId="77777777" w:rsidR="00F77B06" w:rsidRDefault="00000000">
      <w:pPr>
        <w:spacing w:after="400"/>
        <w:jc w:val="center"/>
      </w:pPr>
      <w:r>
        <w:rPr>
          <w:color w:val="1B2A4A"/>
          <w:sz w:val="30"/>
          <w:szCs w:val="30"/>
        </w:rPr>
        <w:t>Reliability and National Advantage</w:t>
      </w:r>
    </w:p>
    <w:p w14:paraId="0F86AA88" w14:textId="77777777" w:rsidR="00F77B06" w:rsidRDefault="00000000">
      <w:pPr>
        <w:pBdr>
          <w:top w:val="single" w:sz="4" w:space="12" w:color="C5960C"/>
        </w:pBdr>
        <w:spacing w:before="200" w:after="100"/>
        <w:jc w:val="center"/>
      </w:pPr>
      <w:r>
        <w:rPr>
          <w:i/>
          <w:iCs/>
          <w:color w:val="666666"/>
        </w:rPr>
        <w:t>Leveraging All Sources — Coal, Gas, Nuclear and Renewables</w:t>
      </w:r>
    </w:p>
    <w:p w14:paraId="3C48DFF3" w14:textId="77777777" w:rsidR="00F77B06" w:rsidRDefault="00000000">
      <w:pPr>
        <w:spacing w:after="80"/>
        <w:jc w:val="center"/>
      </w:pPr>
      <w:r>
        <w:rPr>
          <w:i/>
          <w:iCs/>
          <w:color w:val="666666"/>
        </w:rPr>
        <w:t>To Secure Affordable, Dispatchable, Sovereign Energy</w:t>
      </w:r>
    </w:p>
    <w:p w14:paraId="52C43E20" w14:textId="77777777" w:rsidR="00F77B06" w:rsidRDefault="00000000">
      <w:pPr>
        <w:spacing w:after="80"/>
        <w:jc w:val="center"/>
      </w:pPr>
      <w:r>
        <w:rPr>
          <w:i/>
          <w:iCs/>
          <w:color w:val="666666"/>
        </w:rPr>
        <w:t>and Capture the Global AI Data Centre Opportunity</w:t>
      </w:r>
    </w:p>
    <w:p w14:paraId="4D902B17" w14:textId="77777777" w:rsidR="00F77B06" w:rsidRDefault="00F77B06">
      <w:pPr>
        <w:spacing w:after="120"/>
      </w:pPr>
    </w:p>
    <w:p w14:paraId="2ED1E68D" w14:textId="77777777" w:rsidR="00F77B06" w:rsidRDefault="00F77B06">
      <w:pPr>
        <w:spacing w:after="120"/>
      </w:pPr>
    </w:p>
    <w:p w14:paraId="458676DB" w14:textId="77777777" w:rsidR="00F77B06" w:rsidRDefault="00F77B06">
      <w:pPr>
        <w:spacing w:after="120"/>
      </w:pPr>
    </w:p>
    <w:p w14:paraId="528A7BE9" w14:textId="77777777" w:rsidR="00F77B06" w:rsidRDefault="00F77B06">
      <w:pPr>
        <w:spacing w:after="120"/>
      </w:pPr>
    </w:p>
    <w:p w14:paraId="075F168E" w14:textId="77777777" w:rsidR="00F77B06" w:rsidRDefault="00F77B06">
      <w:pPr>
        <w:sectPr w:rsidR="00F77B06">
          <w:pgSz w:w="11906" w:h="16838"/>
          <w:pgMar w:top="1440" w:right="1440" w:bottom="1440" w:left="1440" w:header="708" w:footer="708" w:gutter="0"/>
          <w:cols w:space="720"/>
          <w:docGrid w:linePitch="360"/>
        </w:sectPr>
      </w:pPr>
    </w:p>
    <w:p w14:paraId="65F10546" w14:textId="77777777" w:rsidR="00F77B06" w:rsidRDefault="00000000">
      <w:pPr>
        <w:pStyle w:val="Heading1"/>
      </w:pPr>
      <w:r>
        <w:lastRenderedPageBreak/>
        <w:t>EXECUTIVE SUMMARY</w:t>
      </w:r>
    </w:p>
    <w:p w14:paraId="6A643767" w14:textId="77777777" w:rsidR="00F77B06" w:rsidRDefault="00000000">
      <w:pPr>
        <w:spacing w:after="160" w:line="300" w:lineRule="auto"/>
        <w:jc w:val="both"/>
      </w:pPr>
      <w:r>
        <w:rPr>
          <w:color w:val="333333"/>
        </w:rPr>
        <w:t>Australia stands at an inflection point. The global economy is being reshaped by artificial intelligence and the insatiable demand for computational power. Simultaneously, Australians face rising electricity prices, grid instability, and a political class that has pursued an ideologically rigid “renewables-only” pathway that ignores engineering reality, economic prudence, and our national interest.</w:t>
      </w:r>
    </w:p>
    <w:p w14:paraId="21AE569E" w14:textId="77777777" w:rsidR="00F77B06" w:rsidRDefault="00000000">
      <w:pPr>
        <w:spacing w:after="160" w:line="300" w:lineRule="auto"/>
        <w:jc w:val="both"/>
      </w:pPr>
      <w:r>
        <w:rPr>
          <w:color w:val="333333"/>
        </w:rPr>
        <w:t>This policy paper sets out the Australian National Alliance’s energy platform: a Hybrid Energy Strategy that harnesses every available source of power — existing coal and gas assets, next-generation nuclear technology, and commercially viable renewables — to deliver affordable, reliable, dispatchable electricity for Australian families and businesses while positioning the nation as a global energy superpower in the age of AI.</w:t>
      </w:r>
    </w:p>
    <w:p w14:paraId="383DA9F7" w14:textId="77777777" w:rsidR="00F77B06" w:rsidRDefault="00000000">
      <w:pPr>
        <w:spacing w:after="160" w:line="300" w:lineRule="auto"/>
        <w:jc w:val="both"/>
      </w:pPr>
      <w:r>
        <w:rPr>
          <w:color w:val="333333"/>
        </w:rPr>
        <w:t>Our approach is grounded in three unassailable facts:</w:t>
      </w:r>
    </w:p>
    <w:p w14:paraId="30AE35E8" w14:textId="77777777" w:rsidR="00F77B06" w:rsidRDefault="00000000">
      <w:pPr>
        <w:pStyle w:val="ListParagraph"/>
        <w:numPr>
          <w:ilvl w:val="0"/>
          <w:numId w:val="2"/>
        </w:numPr>
        <w:spacing w:after="120" w:line="300" w:lineRule="auto"/>
      </w:pPr>
      <w:r>
        <w:rPr>
          <w:b/>
          <w:bCs/>
          <w:color w:val="333333"/>
        </w:rPr>
        <w:t xml:space="preserve">Australia’s domestic emissions account for approximately 1.0% of global CO₂. </w:t>
      </w:r>
      <w:r>
        <w:rPr>
          <w:color w:val="333333"/>
        </w:rPr>
        <w:t>Even if Australia eliminated all emissions overnight, the measurable impact on global temperature trajectories would be negligible. Climate policy that destroys Australian industries and livelihoods for symbolic effect is not responsible governance — it is virtue signalling at the expense of working families.</w:t>
      </w:r>
    </w:p>
    <w:p w14:paraId="2656E292" w14:textId="77777777" w:rsidR="00F77B06" w:rsidRDefault="00000000">
      <w:pPr>
        <w:pStyle w:val="ListParagraph"/>
        <w:numPr>
          <w:ilvl w:val="0"/>
          <w:numId w:val="2"/>
        </w:numPr>
        <w:spacing w:after="120" w:line="300" w:lineRule="auto"/>
      </w:pPr>
      <w:r>
        <w:rPr>
          <w:b/>
          <w:bCs/>
          <w:color w:val="333333"/>
        </w:rPr>
        <w:t xml:space="preserve">Dispatchable, baseload power is non-negotiable. </w:t>
      </w:r>
      <w:r>
        <w:rPr>
          <w:color w:val="333333"/>
        </w:rPr>
        <w:t>A continent of 7.7 million square kilometres with population centres separated by thousands of kilometres cannot run on intermittent sources alone. Wind and solar are weather-dependent; batteries remain prohibitively expensive at grid scale. Coal, gas and nuclear provide the 24/7 backbone that keeps the lights on.</w:t>
      </w:r>
    </w:p>
    <w:p w14:paraId="6E3EB3FB" w14:textId="77777777" w:rsidR="00F77B06" w:rsidRDefault="00000000">
      <w:pPr>
        <w:pStyle w:val="ListParagraph"/>
        <w:numPr>
          <w:ilvl w:val="0"/>
          <w:numId w:val="2"/>
        </w:numPr>
        <w:spacing w:after="200" w:line="300" w:lineRule="auto"/>
      </w:pPr>
      <w:r>
        <w:rPr>
          <w:b/>
          <w:bCs/>
          <w:color w:val="333333"/>
        </w:rPr>
        <w:t xml:space="preserve">The global AI revolution is the greatest energy export opportunity since the post-war coal boom. </w:t>
      </w:r>
      <w:r>
        <w:rPr>
          <w:color w:val="333333"/>
        </w:rPr>
        <w:t>Global data centre power demand is projected to reach 120–176 GW by 2030–2035, a three-to-fivefold increase from 2024 levels. Australia holds approximately 30% of the world’s uranium reserves, vast coal and gas deposits, and unlimited solar irradiation. We must leverage all of these assets.</w:t>
      </w:r>
    </w:p>
    <w:p w14:paraId="768BA62E" w14:textId="77777777" w:rsidR="00F77B06" w:rsidRDefault="00000000">
      <w:pPr>
        <w:spacing w:after="160" w:line="300" w:lineRule="auto"/>
        <w:jc w:val="both"/>
      </w:pPr>
      <w:r>
        <w:rPr>
          <w:color w:val="333333"/>
        </w:rPr>
        <w:t>This is not a policy of denial. It is a policy of realism. We reject the false binary that forces Australians to choose between economic ruin and environmental responsibility. The Hybrid Energy Strategy delivers both.</w:t>
      </w:r>
    </w:p>
    <w:p w14:paraId="6673389B" w14:textId="77777777" w:rsidR="00F77B06" w:rsidRDefault="00000000">
      <w:pPr>
        <w:pStyle w:val="Heading1"/>
      </w:pPr>
      <w:r>
        <w:t>PART I: THE CASE FOR CHANGE</w:t>
      </w:r>
    </w:p>
    <w:p w14:paraId="6D4F82EC" w14:textId="77777777" w:rsidR="00F77B06" w:rsidRDefault="00000000">
      <w:pPr>
        <w:pStyle w:val="Heading2"/>
      </w:pPr>
      <w:r>
        <w:t>1.1  Australia’s Energy Crisis in Numbers</w:t>
      </w:r>
    </w:p>
    <w:p w14:paraId="1E5E982A" w14:textId="77777777" w:rsidR="00F77B06" w:rsidRDefault="00000000">
      <w:pPr>
        <w:spacing w:after="160" w:line="300" w:lineRule="auto"/>
        <w:jc w:val="both"/>
      </w:pPr>
      <w:r>
        <w:rPr>
          <w:color w:val="333333"/>
        </w:rPr>
        <w:t xml:space="preserve">Australia’s electricity system is under acute stress. In 2024, fossil fuels still contributed 64% of total electricity generation — coal at 45%, gas at 17%, and oil at 2% — while renewables provided 36%. Yet despite billions of dollars in subsidies, the renewable build-out has not delivered the cost reductions promised to the Australian public. Real household electricity </w:t>
      </w:r>
      <w:r>
        <w:rPr>
          <w:color w:val="333333"/>
        </w:rPr>
        <w:lastRenderedPageBreak/>
        <w:t>prices increased by 72% between 2003 and 2013, and have continued to climb. The premature closure of coal-fired generators has reduced dispatchable capacity without adequate replacement, leading to reliability warnings from the Australian Energy Market Operator (AEMO).</w:t>
      </w:r>
    </w:p>
    <w:p w14:paraId="2E00439F" w14:textId="77777777" w:rsidR="00F77B06" w:rsidRDefault="00000000">
      <w:pPr>
        <w:spacing w:after="160" w:line="300" w:lineRule="auto"/>
        <w:jc w:val="both"/>
      </w:pPr>
      <w:r>
        <w:rPr>
          <w:color w:val="333333"/>
        </w:rPr>
        <w:t>The current Labor Government’s target of 82% renewable electricity by 2030 requires a build rate that is physically implausible: approximately 40 GW of new wind, solar and storage capacity in five years, with the transmission infrastructure to connect it across the world’s sixth-largest country. This target is not an energy policy; it is an aspiration untethered from engineering constraints, supply chain realities, and community consent.</w:t>
      </w:r>
    </w:p>
    <w:p w14:paraId="5B2F05B9" w14:textId="77777777" w:rsidR="00F77B06" w:rsidRDefault="00000000">
      <w:pPr>
        <w:pStyle w:val="Heading2"/>
      </w:pPr>
      <w:r>
        <w:t>1.2  The Proportionality Question: Australia’s 1% and the Global Ledger</w:t>
      </w:r>
    </w:p>
    <w:p w14:paraId="35FB77AE" w14:textId="77777777" w:rsidR="00F77B06" w:rsidRDefault="00000000">
      <w:pPr>
        <w:spacing w:after="160" w:line="300" w:lineRule="auto"/>
        <w:jc w:val="both"/>
      </w:pPr>
      <w:r>
        <w:rPr>
          <w:color w:val="333333"/>
        </w:rPr>
        <w:t>Australia’s fossil CO₂ emissions in 2022 were approximately 393 million tonnes, representing 1.02% of global emissions. China (32%), the United States (13%), India (8%) and the European Union (7%) collectively account for 60% of global output. Even including the embodied emissions of Australia’s fossil fuel exports — which are properly attributed to the consuming nation under established international accounting rules — Australia’s share remains modest in the context of a 37-billion-tonne global total.</w:t>
      </w:r>
    </w:p>
    <w:p w14:paraId="0B2B1027" w14:textId="77777777" w:rsidR="00F77B06" w:rsidRDefault="00000000">
      <w:pPr>
        <w:spacing w:after="160" w:line="300" w:lineRule="auto"/>
        <w:jc w:val="both"/>
      </w:pPr>
      <w:r>
        <w:rPr>
          <w:color w:val="333333"/>
        </w:rPr>
        <w:t>The Alliance does not deny that the global climate is changing, nor that human activity contributes to that change. What we reject is the proposition that Australia should unilaterally dismantle its industrial base, impose crippling costs on households, and sacrifice energy security in pursuit of a symbolic gesture that will have no measurable impact on global temperatures. Proportionality must guide policy. The climate question is a global coordination problem, and Australia’s most effective contribution is not self-flagellation but the export of cleaner energy technologies — including nuclear fuel — to nations whose emissions dwarf our own.</w:t>
      </w:r>
    </w:p>
    <w:p w14:paraId="0E1755A7" w14:textId="77777777" w:rsidR="00F77B06" w:rsidRDefault="00000000">
      <w:pPr>
        <w:pStyle w:val="Heading2"/>
      </w:pPr>
      <w:r>
        <w:t>1.3  The AI Energy Imperative</w:t>
      </w:r>
    </w:p>
    <w:p w14:paraId="303DA4F6" w14:textId="77777777" w:rsidR="00F77B06" w:rsidRDefault="00000000">
      <w:pPr>
        <w:spacing w:after="160" w:line="300" w:lineRule="auto"/>
        <w:jc w:val="both"/>
      </w:pPr>
      <w:r>
        <w:rPr>
          <w:color w:val="333333"/>
        </w:rPr>
        <w:t>The artificial intelligence revolution has fundamentally changed the global energy calculus. AI workloads require continuous, high-density, baseload power that cannot tolerate intermittency. A single large language model training run can consume electricity equivalent to 100 average American homes for a year. Global data centre power demand is forecast to grow at a compound annual rate of 16% through 2028, with US data centre capacity alone projected to reach 120–176 GW by 2035.</w:t>
      </w:r>
    </w:p>
    <w:p w14:paraId="47EE3B2C" w14:textId="77777777" w:rsidR="00F77B06" w:rsidRDefault="00000000">
      <w:pPr>
        <w:spacing w:after="160" w:line="300" w:lineRule="auto"/>
        <w:jc w:val="both"/>
      </w:pPr>
      <w:r>
        <w:rPr>
          <w:color w:val="333333"/>
        </w:rPr>
        <w:t>Technology giants — Google, Microsoft, Amazon, Meta, OpenAI — are now signing multi-billion-dollar power purchase agreements for nuclear energy to fuel their AI infrastructure. Google is commissioning modular reactors in Tennessee; Meta has contracted for nuclear across multiple sites; the US Government has signed executive orders to quadruple nuclear output by 2050 and designate federal lands for data centres with on-site nuclear power.</w:t>
      </w:r>
    </w:p>
    <w:p w14:paraId="1960DD9B" w14:textId="77777777" w:rsidR="00F77B06" w:rsidRDefault="00000000">
      <w:pPr>
        <w:spacing w:after="160" w:line="300" w:lineRule="auto"/>
        <w:jc w:val="both"/>
      </w:pPr>
      <w:r>
        <w:rPr>
          <w:color w:val="333333"/>
        </w:rPr>
        <w:t xml:space="preserve">Australia is uniquely positioned to capitalise on this demand. We sit on the world’s largest uranium reserves — the Olympic Dam deposit alone is the planet’s biggest single source. We </w:t>
      </w:r>
      <w:r>
        <w:rPr>
          <w:color w:val="333333"/>
        </w:rPr>
        <w:lastRenderedPageBreak/>
        <w:t>have vast, geologically stable, sparsely populated land suitable for data centre campuses. We have a stable rule of law, allied security relationships (AUKUS, Five Eyes), and proximity to the booming Indo-Pacific region. What we lack is a government willing to unlock these advantages.</w:t>
      </w:r>
    </w:p>
    <w:p w14:paraId="342235E3" w14:textId="77777777" w:rsidR="00F77B06" w:rsidRDefault="00000000">
      <w:pPr>
        <w:pBdr>
          <w:left w:val="single" w:sz="6" w:space="8" w:color="C5960C"/>
        </w:pBdr>
        <w:spacing w:after="200" w:line="300" w:lineRule="auto"/>
        <w:ind w:left="720" w:right="720"/>
        <w:jc w:val="both"/>
      </w:pPr>
      <w:r>
        <w:rPr>
          <w:i/>
          <w:iCs/>
          <w:color w:val="1B2A4A"/>
        </w:rPr>
        <w:t>The global AI data centre build-out represents the single largest energy opportunity in a generation. If Australia fails to act, other nations — less stable, less reliable, less secure — will fill the vacuum.</w:t>
      </w:r>
    </w:p>
    <w:p w14:paraId="1F7A103F" w14:textId="77777777" w:rsidR="00F77B06" w:rsidRDefault="00000000">
      <w:pPr>
        <w:pStyle w:val="Heading1"/>
      </w:pPr>
      <w:r>
        <w:t>PART II: THE HYBRID ENERGY STRATEGY</w:t>
      </w:r>
    </w:p>
    <w:p w14:paraId="28CDFF01" w14:textId="77777777" w:rsidR="00F77B06" w:rsidRDefault="00000000">
      <w:pPr>
        <w:spacing w:after="160" w:line="300" w:lineRule="auto"/>
        <w:jc w:val="both"/>
      </w:pPr>
      <w:r>
        <w:rPr>
          <w:color w:val="333333"/>
        </w:rPr>
        <w:t>The Australian National Alliance’s energy platform rests on five pillars, each reinforcing the others to create an integrated, resilient and economically rational energy system.</w:t>
      </w:r>
    </w:p>
    <w:p w14:paraId="01BC9319" w14:textId="77777777" w:rsidR="00F77B06" w:rsidRDefault="00000000">
      <w:pPr>
        <w:pStyle w:val="Heading2"/>
      </w:pPr>
      <w:r>
        <w:t>Pillar 1: Extend and Modernise Existing Coal and Gas Assets</w:t>
      </w:r>
    </w:p>
    <w:p w14:paraId="3A63CF5E" w14:textId="77777777" w:rsidR="00F77B06" w:rsidRDefault="00000000">
      <w:pPr>
        <w:spacing w:before="200" w:after="100"/>
      </w:pPr>
      <w:r>
        <w:rPr>
          <w:b/>
          <w:bCs/>
          <w:color w:val="1B2A4A"/>
          <w:sz w:val="24"/>
          <w:szCs w:val="24"/>
        </w:rPr>
        <w:t>Rationale</w:t>
      </w:r>
    </w:p>
    <w:p w14:paraId="22172637" w14:textId="77777777" w:rsidR="00F77B06" w:rsidRDefault="00000000">
      <w:pPr>
        <w:spacing w:after="160" w:line="300" w:lineRule="auto"/>
        <w:jc w:val="both"/>
      </w:pPr>
      <w:r>
        <w:rPr>
          <w:color w:val="333333"/>
        </w:rPr>
        <w:t>Australia’s existing coal fleet represents approximately 18 GW of installed, dispatchable capacity that is already built, already connected to the transmission grid, and already powering Australian homes and industries. Premature closure of these assets before adequate replacement capacity is operational is the single greatest threat to grid reliability and electricity affordability.</w:t>
      </w:r>
    </w:p>
    <w:p w14:paraId="6D21C706" w14:textId="77777777" w:rsidR="00F77B06" w:rsidRDefault="00000000">
      <w:pPr>
        <w:spacing w:before="200" w:after="100"/>
      </w:pPr>
      <w:r>
        <w:rPr>
          <w:b/>
          <w:bCs/>
          <w:color w:val="1B2A4A"/>
          <w:sz w:val="24"/>
          <w:szCs w:val="24"/>
        </w:rPr>
        <w:t>Policy Commitments</w:t>
      </w:r>
    </w:p>
    <w:p w14:paraId="43DD101D" w14:textId="77777777" w:rsidR="00F77B06" w:rsidRDefault="00000000">
      <w:pPr>
        <w:pStyle w:val="ListParagraph"/>
        <w:numPr>
          <w:ilvl w:val="0"/>
          <w:numId w:val="3"/>
        </w:numPr>
        <w:spacing w:after="120" w:line="300" w:lineRule="auto"/>
      </w:pPr>
      <w:r>
        <w:rPr>
          <w:b/>
          <w:bCs/>
          <w:color w:val="333333"/>
        </w:rPr>
        <w:t xml:space="preserve">Life Extension Programme: </w:t>
      </w:r>
      <w:r>
        <w:rPr>
          <w:color w:val="333333"/>
        </w:rPr>
        <w:t>Invest in repowering and life-extending viable black and brown coal generators through supercritical technology upgrades, targeting a 2–3 year construction window. No coal-fired power station will be closed until replacement dispatchable capacity is proven and operational.</w:t>
      </w:r>
    </w:p>
    <w:p w14:paraId="12C007C6" w14:textId="77777777" w:rsidR="00F77B06" w:rsidRDefault="00000000">
      <w:pPr>
        <w:pStyle w:val="ListParagraph"/>
        <w:numPr>
          <w:ilvl w:val="0"/>
          <w:numId w:val="3"/>
        </w:numPr>
        <w:spacing w:after="120" w:line="300" w:lineRule="auto"/>
      </w:pPr>
      <w:r>
        <w:rPr>
          <w:b/>
          <w:bCs/>
          <w:color w:val="333333"/>
        </w:rPr>
        <w:t xml:space="preserve">Gas Expansion: </w:t>
      </w:r>
      <w:r>
        <w:rPr>
          <w:color w:val="333333"/>
        </w:rPr>
        <w:t xml:space="preserve">Construct 5–10 GW of new high-efficiency gas-fired generation (combined-cycle gas turbines) within 1–2 years to provide flexible, fast-ramping capacity that complements both baseload coal/nuclear and variable renewables. Unlock domestic gas supply from the Bowen Basin, </w:t>
      </w:r>
      <w:proofErr w:type="spellStart"/>
      <w:r>
        <w:rPr>
          <w:color w:val="333333"/>
        </w:rPr>
        <w:t>Beetaloo</w:t>
      </w:r>
      <w:proofErr w:type="spellEnd"/>
      <w:r>
        <w:rPr>
          <w:color w:val="333333"/>
        </w:rPr>
        <w:t xml:space="preserve"> Sub-basin and other reserves through streamlined approvals.</w:t>
      </w:r>
    </w:p>
    <w:p w14:paraId="6BF6E53C" w14:textId="77777777" w:rsidR="00F77B06" w:rsidRDefault="00000000">
      <w:pPr>
        <w:pStyle w:val="ListParagraph"/>
        <w:numPr>
          <w:ilvl w:val="0"/>
          <w:numId w:val="3"/>
        </w:numPr>
        <w:spacing w:after="120" w:line="300" w:lineRule="auto"/>
      </w:pPr>
      <w:r>
        <w:rPr>
          <w:b/>
          <w:bCs/>
          <w:color w:val="333333"/>
        </w:rPr>
        <w:t xml:space="preserve">Domestic Reservation Policy: </w:t>
      </w:r>
      <w:r>
        <w:rPr>
          <w:color w:val="333333"/>
        </w:rPr>
        <w:t>Implement a national gas reservation mechanism to ensure adequate supply for domestic electricity generation and industrial use before export commitments are honoured.</w:t>
      </w:r>
    </w:p>
    <w:p w14:paraId="79C51260" w14:textId="77777777" w:rsidR="00F77B06" w:rsidRDefault="00000000">
      <w:pPr>
        <w:pStyle w:val="ListParagraph"/>
        <w:numPr>
          <w:ilvl w:val="0"/>
          <w:numId w:val="3"/>
        </w:numPr>
        <w:spacing w:after="200" w:line="300" w:lineRule="auto"/>
      </w:pPr>
      <w:r>
        <w:rPr>
          <w:b/>
          <w:bCs/>
          <w:color w:val="333333"/>
        </w:rPr>
        <w:t xml:space="preserve">Emissions Reduction at Source: </w:t>
      </w:r>
      <w:r>
        <w:rPr>
          <w:color w:val="333333"/>
        </w:rPr>
        <w:t>Fund research and deployment of carbon capture, utilisation and storage (CCUS) at major coal and gas installations, recognising that reducing emissions per unit of output is more economically rational than eliminating the output altogether.</w:t>
      </w:r>
    </w:p>
    <w:p w14:paraId="185ED627" w14:textId="77777777" w:rsidR="00F77B06" w:rsidRDefault="00000000">
      <w:pPr>
        <w:pStyle w:val="Heading2"/>
      </w:pPr>
      <w:r>
        <w:t>Pillar 2: Establish a Sovereign Nuclear Energy Industry</w:t>
      </w:r>
    </w:p>
    <w:p w14:paraId="094A5197" w14:textId="77777777" w:rsidR="00F77B06" w:rsidRDefault="00000000">
      <w:pPr>
        <w:spacing w:before="200" w:after="100"/>
      </w:pPr>
      <w:r>
        <w:rPr>
          <w:b/>
          <w:bCs/>
          <w:color w:val="1B2A4A"/>
          <w:sz w:val="24"/>
          <w:szCs w:val="24"/>
        </w:rPr>
        <w:t>Rationale</w:t>
      </w:r>
    </w:p>
    <w:p w14:paraId="0328C2E9" w14:textId="77777777" w:rsidR="00F77B06" w:rsidRDefault="00000000">
      <w:pPr>
        <w:spacing w:after="160" w:line="300" w:lineRule="auto"/>
        <w:jc w:val="both"/>
      </w:pPr>
      <w:r>
        <w:rPr>
          <w:color w:val="333333"/>
        </w:rPr>
        <w:lastRenderedPageBreak/>
        <w:t>Australia is the only G20 nation that both prohibits nuclear power and holds the world’s largest uranium reserves. This is an absurdity without parallel in global energy policy. We mine the fuel, export it to 30 countries, and then ban ourselves from using it. The legislative prohibition under the Environment Protection and Biodiversity Conservation Act 1999 and various state-level bans must be repealed as a matter of national priority.</w:t>
      </w:r>
    </w:p>
    <w:p w14:paraId="4DCA08D6" w14:textId="77777777" w:rsidR="00F77B06" w:rsidRDefault="00000000">
      <w:pPr>
        <w:spacing w:after="160" w:line="300" w:lineRule="auto"/>
        <w:jc w:val="both"/>
      </w:pPr>
      <w:r>
        <w:rPr>
          <w:color w:val="333333"/>
        </w:rPr>
        <w:t>Nuclear energy — and in particular Small Modular Reactors (SMRs) — offers characteristics uniquely suited to Australia’s geography and needs: compact physical footprint, modular factory fabrication, passive safety systems, reliable 24/7 baseload output, near-zero operational emissions, and the ability to be deployed at or near existing transmission infrastructure including decommissioned coal plant sites.</w:t>
      </w:r>
    </w:p>
    <w:p w14:paraId="5AC1C951" w14:textId="77777777" w:rsidR="00F77B06" w:rsidRDefault="00000000">
      <w:pPr>
        <w:spacing w:before="200" w:after="100"/>
      </w:pPr>
      <w:r>
        <w:rPr>
          <w:b/>
          <w:bCs/>
          <w:color w:val="1B2A4A"/>
          <w:sz w:val="24"/>
          <w:szCs w:val="24"/>
        </w:rPr>
        <w:t>Policy Commitments</w:t>
      </w:r>
    </w:p>
    <w:p w14:paraId="57551585" w14:textId="77777777" w:rsidR="00F77B06" w:rsidRDefault="00000000">
      <w:pPr>
        <w:pStyle w:val="ListParagraph"/>
        <w:numPr>
          <w:ilvl w:val="0"/>
          <w:numId w:val="3"/>
        </w:numPr>
        <w:spacing w:after="120" w:line="300" w:lineRule="auto"/>
      </w:pPr>
      <w:r>
        <w:rPr>
          <w:b/>
          <w:bCs/>
          <w:color w:val="333333"/>
        </w:rPr>
        <w:t xml:space="preserve">Legislative Reform: </w:t>
      </w:r>
      <w:r>
        <w:rPr>
          <w:color w:val="333333"/>
        </w:rPr>
        <w:t>Repeal the federal prohibition on nuclear power within the first 100 days of government. Work with state and territory governments to remove corresponding state-level bans.</w:t>
      </w:r>
    </w:p>
    <w:p w14:paraId="76277B23" w14:textId="77777777" w:rsidR="00F77B06" w:rsidRDefault="00000000">
      <w:pPr>
        <w:pStyle w:val="ListParagraph"/>
        <w:numPr>
          <w:ilvl w:val="0"/>
          <w:numId w:val="3"/>
        </w:numPr>
        <w:spacing w:after="120" w:line="300" w:lineRule="auto"/>
      </w:pPr>
      <w:r>
        <w:rPr>
          <w:b/>
          <w:bCs/>
          <w:color w:val="333333"/>
        </w:rPr>
        <w:t xml:space="preserve">Australian Nuclear Energy Agency: </w:t>
      </w:r>
      <w:r>
        <w:rPr>
          <w:color w:val="333333"/>
        </w:rPr>
        <w:t>Establish a dedicated national agency (expanding the mandate of ANSTO) to oversee regulatory framework development, site selection, licensing, safety standards and workforce development. Adopt harmonised regulatory standards with allied nations (US, UK, Canada, France) to accelerate design approval timelines.</w:t>
      </w:r>
    </w:p>
    <w:p w14:paraId="63ABD62A" w14:textId="77777777" w:rsidR="00F77B06" w:rsidRDefault="00000000">
      <w:pPr>
        <w:pStyle w:val="ListParagraph"/>
        <w:numPr>
          <w:ilvl w:val="0"/>
          <w:numId w:val="3"/>
        </w:numPr>
        <w:spacing w:after="120" w:line="300" w:lineRule="auto"/>
      </w:pPr>
      <w:r>
        <w:rPr>
          <w:b/>
          <w:bCs/>
          <w:color w:val="333333"/>
        </w:rPr>
        <w:t xml:space="preserve">SMR Deployment Programme: </w:t>
      </w:r>
      <w:r>
        <w:rPr>
          <w:color w:val="333333"/>
        </w:rPr>
        <w:t xml:space="preserve">Procure proven SMR designs (GE-Hitachi BWRX-300, Rolls-Royce SMR, </w:t>
      </w:r>
      <w:proofErr w:type="spellStart"/>
      <w:r>
        <w:rPr>
          <w:color w:val="333333"/>
        </w:rPr>
        <w:t>NuScale</w:t>
      </w:r>
      <w:proofErr w:type="spellEnd"/>
      <w:r>
        <w:rPr>
          <w:color w:val="333333"/>
        </w:rPr>
        <w:t>, or equivalent) for deployment at decommissioned coal station sites where transmission infrastructure already exists. Target: first reactors online by 2035, with 2–5 GW of nuclear capacity by 2037 and a 10–20 GW fleet by 2040.</w:t>
      </w:r>
    </w:p>
    <w:p w14:paraId="5243EB30" w14:textId="77777777" w:rsidR="00F77B06" w:rsidRDefault="00000000">
      <w:pPr>
        <w:pStyle w:val="ListParagraph"/>
        <w:numPr>
          <w:ilvl w:val="0"/>
          <w:numId w:val="3"/>
        </w:numPr>
        <w:spacing w:after="120" w:line="300" w:lineRule="auto"/>
      </w:pPr>
      <w:r>
        <w:rPr>
          <w:b/>
          <w:bCs/>
          <w:color w:val="333333"/>
        </w:rPr>
        <w:t xml:space="preserve">Workforce and Supply Chain Investment: </w:t>
      </w:r>
      <w:r>
        <w:rPr>
          <w:color w:val="333333"/>
        </w:rPr>
        <w:t>Allocate $2 billion over 10 years for nuclear engineering education, trades training, domestic manufacturing capability and indigenous supply chain development. Prioritise regional communities currently dependent on coal-fired power station employment.</w:t>
      </w:r>
    </w:p>
    <w:p w14:paraId="12A279CA" w14:textId="77777777" w:rsidR="00F77B06" w:rsidRDefault="00000000">
      <w:pPr>
        <w:pStyle w:val="ListParagraph"/>
        <w:numPr>
          <w:ilvl w:val="0"/>
          <w:numId w:val="3"/>
        </w:numPr>
        <w:spacing w:after="200" w:line="300" w:lineRule="auto"/>
      </w:pPr>
      <w:r>
        <w:rPr>
          <w:b/>
          <w:bCs/>
          <w:color w:val="333333"/>
        </w:rPr>
        <w:t xml:space="preserve">Uranium Value Chain Expansion: </w:t>
      </w:r>
      <w:r>
        <w:rPr>
          <w:color w:val="333333"/>
        </w:rPr>
        <w:t>Lift state-level bans on uranium mining (particularly Western Australia’s 2017 moratorium), expand mining and processing capacity, and pursue domestic enrichment capability to capture more value from the nuclear fuel cycle. Australia must move from being a raw material exporter to a full-spectrum nuclear fuel supplier.</w:t>
      </w:r>
    </w:p>
    <w:p w14:paraId="7E26FCB1" w14:textId="77777777" w:rsidR="00F77B06" w:rsidRDefault="00000000">
      <w:pPr>
        <w:pStyle w:val="Heading2"/>
      </w:pPr>
      <w:r>
        <w:t>Pillar 3: Retain Commercially Viable Renewables — Without Mandates or Subsidies</w:t>
      </w:r>
    </w:p>
    <w:p w14:paraId="38B908FD" w14:textId="77777777" w:rsidR="00F77B06" w:rsidRDefault="00000000">
      <w:pPr>
        <w:spacing w:before="200" w:after="100"/>
      </w:pPr>
      <w:r>
        <w:rPr>
          <w:b/>
          <w:bCs/>
          <w:color w:val="1B2A4A"/>
          <w:sz w:val="24"/>
          <w:szCs w:val="24"/>
        </w:rPr>
        <w:t>Rationale</w:t>
      </w:r>
    </w:p>
    <w:p w14:paraId="2D9AA0F6" w14:textId="77777777" w:rsidR="00F77B06" w:rsidRDefault="00000000">
      <w:pPr>
        <w:spacing w:after="160" w:line="300" w:lineRule="auto"/>
        <w:jc w:val="both"/>
      </w:pPr>
      <w:r>
        <w:rPr>
          <w:color w:val="333333"/>
        </w:rPr>
        <w:t xml:space="preserve">The Alliance is not opposed to renewable energy. We are opposed to mandating it, subsidising it at the expense of taxpayers, and pretending it can do what it physically cannot: provide reliable, dispatchable baseload power to a continent-sized grid. Where solar and rooftop PV </w:t>
      </w:r>
      <w:r>
        <w:rPr>
          <w:color w:val="333333"/>
        </w:rPr>
        <w:lastRenderedPageBreak/>
        <w:t>make commercial sense — particularly for household self-consumption, remote applications and supplementary daytime generation — they should compete on their merits.</w:t>
      </w:r>
    </w:p>
    <w:p w14:paraId="201DC90C" w14:textId="77777777" w:rsidR="00F77B06" w:rsidRDefault="00000000">
      <w:pPr>
        <w:spacing w:before="200" w:after="100"/>
      </w:pPr>
      <w:r>
        <w:rPr>
          <w:b/>
          <w:bCs/>
          <w:color w:val="1B2A4A"/>
          <w:sz w:val="24"/>
          <w:szCs w:val="24"/>
        </w:rPr>
        <w:t>Policy Commitments</w:t>
      </w:r>
    </w:p>
    <w:p w14:paraId="31B6965F" w14:textId="77777777" w:rsidR="00F77B06" w:rsidRDefault="00000000">
      <w:pPr>
        <w:pStyle w:val="ListParagraph"/>
        <w:numPr>
          <w:ilvl w:val="0"/>
          <w:numId w:val="3"/>
        </w:numPr>
        <w:spacing w:after="120" w:line="300" w:lineRule="auto"/>
      </w:pPr>
      <w:r>
        <w:rPr>
          <w:b/>
          <w:bCs/>
          <w:color w:val="333333"/>
        </w:rPr>
        <w:t xml:space="preserve">Repeal the Renewable Energy Target (RET): </w:t>
      </w:r>
      <w:r>
        <w:rPr>
          <w:color w:val="333333"/>
        </w:rPr>
        <w:t>End all technology-specific mandates that distort the energy market. Generation sources should compete on cost, reliability and dispatchability. Honour existing contracts but do not renew them.</w:t>
      </w:r>
    </w:p>
    <w:p w14:paraId="44B37927" w14:textId="77777777" w:rsidR="00F77B06" w:rsidRDefault="00000000">
      <w:pPr>
        <w:pStyle w:val="ListParagraph"/>
        <w:numPr>
          <w:ilvl w:val="0"/>
          <w:numId w:val="3"/>
        </w:numPr>
        <w:spacing w:after="120" w:line="300" w:lineRule="auto"/>
      </w:pPr>
      <w:r>
        <w:rPr>
          <w:b/>
          <w:bCs/>
          <w:color w:val="333333"/>
        </w:rPr>
        <w:t xml:space="preserve">Remove Subsidies: </w:t>
      </w:r>
      <w:r>
        <w:rPr>
          <w:color w:val="333333"/>
        </w:rPr>
        <w:t>Phase out all direct subsidies, feed-in tariff top-ups and preferential dispatch rules for wind and solar over a three-year transition period. If renewables are genuinely the cheapest form of generation, they will thrive without taxpayer support.</w:t>
      </w:r>
    </w:p>
    <w:p w14:paraId="343BA150" w14:textId="77777777" w:rsidR="00F77B06" w:rsidRDefault="00000000">
      <w:pPr>
        <w:pStyle w:val="ListParagraph"/>
        <w:numPr>
          <w:ilvl w:val="0"/>
          <w:numId w:val="3"/>
        </w:numPr>
        <w:spacing w:after="120" w:line="300" w:lineRule="auto"/>
      </w:pPr>
      <w:r>
        <w:rPr>
          <w:b/>
          <w:bCs/>
          <w:color w:val="333333"/>
        </w:rPr>
        <w:t xml:space="preserve">Full System Cost Transparency: </w:t>
      </w:r>
      <w:r>
        <w:rPr>
          <w:color w:val="333333"/>
        </w:rPr>
        <w:t xml:space="preserve">Require AEMO to publish the full system-level cost of each generation type, including firming, storage, transmission augmentation, and curtailment costs. The public deserves to see the true cost of intermittent generation, not just the headline </w:t>
      </w:r>
      <w:proofErr w:type="spellStart"/>
      <w:r>
        <w:rPr>
          <w:color w:val="333333"/>
        </w:rPr>
        <w:t>levelised</w:t>
      </w:r>
      <w:proofErr w:type="spellEnd"/>
      <w:r>
        <w:rPr>
          <w:color w:val="333333"/>
        </w:rPr>
        <w:t xml:space="preserve"> cost of energy (LCOE) at the generator.</w:t>
      </w:r>
    </w:p>
    <w:p w14:paraId="6EA8533A" w14:textId="77777777" w:rsidR="00F77B06" w:rsidRDefault="00000000">
      <w:pPr>
        <w:pStyle w:val="ListParagraph"/>
        <w:numPr>
          <w:ilvl w:val="0"/>
          <w:numId w:val="3"/>
        </w:numPr>
        <w:spacing w:after="200" w:line="300" w:lineRule="auto"/>
      </w:pPr>
      <w:r>
        <w:rPr>
          <w:b/>
          <w:bCs/>
          <w:color w:val="333333"/>
        </w:rPr>
        <w:t xml:space="preserve">Support Household Solar and Storage: </w:t>
      </w:r>
      <w:r>
        <w:rPr>
          <w:color w:val="333333"/>
        </w:rPr>
        <w:t>Continue supporting the Small-scale Renewable Energy Scheme for rooftop solar and battery installations. Over 4.2 million Australian homes now have solar panels, and household energy independence is consistent with our values of self-reliance and individual choice.</w:t>
      </w:r>
    </w:p>
    <w:p w14:paraId="4A8DB7C1" w14:textId="77777777" w:rsidR="00F77B06" w:rsidRDefault="00000000">
      <w:pPr>
        <w:pStyle w:val="Heading2"/>
      </w:pPr>
      <w:r>
        <w:t>Pillar 4: Capture the Global AI Data Centre Opportunity</w:t>
      </w:r>
    </w:p>
    <w:p w14:paraId="39CF3F4E" w14:textId="77777777" w:rsidR="00F77B06" w:rsidRDefault="00000000">
      <w:pPr>
        <w:spacing w:before="200" w:after="100"/>
      </w:pPr>
      <w:r>
        <w:rPr>
          <w:b/>
          <w:bCs/>
          <w:color w:val="1B2A4A"/>
          <w:sz w:val="24"/>
          <w:szCs w:val="24"/>
        </w:rPr>
        <w:t>Rationale</w:t>
      </w:r>
    </w:p>
    <w:p w14:paraId="5EBC6528" w14:textId="77777777" w:rsidR="00F77B06" w:rsidRDefault="00000000">
      <w:pPr>
        <w:spacing w:after="160" w:line="300" w:lineRule="auto"/>
        <w:jc w:val="both"/>
      </w:pPr>
      <w:r>
        <w:rPr>
          <w:color w:val="333333"/>
        </w:rPr>
        <w:t xml:space="preserve">As documented extensively in current research — including the analysis in What Now? The </w:t>
      </w:r>
      <w:proofErr w:type="gramStart"/>
      <w:r>
        <w:rPr>
          <w:color w:val="333333"/>
        </w:rPr>
        <w:t>Post-Labour Economy</w:t>
      </w:r>
      <w:proofErr w:type="gramEnd"/>
      <w:r>
        <w:rPr>
          <w:color w:val="333333"/>
        </w:rPr>
        <w:t xml:space="preserve"> (2025) — the energy demands of artificial intelligence are transforming global infrastructure requirements. AI workloads require continuous, round-the-clock, high-density power delivery that cannot be interrupted or scaled down during periods of low renewable generation. This is, by definition, a baseload power requirement.</w:t>
      </w:r>
    </w:p>
    <w:p w14:paraId="7C8196DB" w14:textId="77777777" w:rsidR="00F77B06" w:rsidRDefault="00000000">
      <w:pPr>
        <w:spacing w:after="160" w:line="300" w:lineRule="auto"/>
        <w:jc w:val="both"/>
      </w:pPr>
      <w:r>
        <w:rPr>
          <w:color w:val="333333"/>
        </w:rPr>
        <w:t>Global uranium demand is projected to jump from approximately 69,000 metric tonnes in 2025 to 150,000 metric tonnes by 2040 — a 117% increase, driven substantially by AI and data centre demand. Uranium spot prices have already risen above US$85/lb, and major technology companies have signed contracts for more than 10 GW of new nuclear capacity in the past year alone. Australia, with 30% of the world’s uranium reserves, is sitting on a strategic asset of extraordinary and growing value.</w:t>
      </w:r>
    </w:p>
    <w:p w14:paraId="12853BE8" w14:textId="77777777" w:rsidR="00F77B06" w:rsidRDefault="00000000">
      <w:pPr>
        <w:spacing w:before="200" w:after="100"/>
      </w:pPr>
      <w:r>
        <w:rPr>
          <w:b/>
          <w:bCs/>
          <w:color w:val="1B2A4A"/>
          <w:sz w:val="24"/>
          <w:szCs w:val="24"/>
        </w:rPr>
        <w:t>Policy Commitments</w:t>
      </w:r>
    </w:p>
    <w:p w14:paraId="1C57FFEF" w14:textId="77777777" w:rsidR="00F77B06" w:rsidRDefault="00000000">
      <w:pPr>
        <w:pStyle w:val="ListParagraph"/>
        <w:numPr>
          <w:ilvl w:val="0"/>
          <w:numId w:val="3"/>
        </w:numPr>
        <w:spacing w:after="120" w:line="300" w:lineRule="auto"/>
      </w:pPr>
      <w:r>
        <w:rPr>
          <w:b/>
          <w:bCs/>
          <w:color w:val="333333"/>
        </w:rPr>
        <w:t xml:space="preserve">AI Energy Zones: </w:t>
      </w:r>
      <w:r>
        <w:rPr>
          <w:color w:val="333333"/>
        </w:rPr>
        <w:t>Designate Special Energy Zones in strategically located regions (e.g., Hunter Valley NSW, Latrobe Valley VIC, Gladstone QLD, Collie WA) with pre-approved sites for co-located data centres and dedicated power generation — including nuclear, gas and large-scale solar.</w:t>
      </w:r>
    </w:p>
    <w:p w14:paraId="770246B1" w14:textId="77777777" w:rsidR="00F77B06" w:rsidRDefault="00000000">
      <w:pPr>
        <w:pStyle w:val="ListParagraph"/>
        <w:numPr>
          <w:ilvl w:val="0"/>
          <w:numId w:val="3"/>
        </w:numPr>
        <w:spacing w:after="120" w:line="300" w:lineRule="auto"/>
      </w:pPr>
      <w:r>
        <w:rPr>
          <w:b/>
          <w:bCs/>
          <w:color w:val="333333"/>
        </w:rPr>
        <w:t xml:space="preserve">Sovereign Attractiveness Package: </w:t>
      </w:r>
      <w:r>
        <w:rPr>
          <w:color w:val="333333"/>
        </w:rPr>
        <w:t xml:space="preserve">Offer competitive regulatory frameworks, streamlined approvals, and infrastructure co-investment to attract global technology companies (including </w:t>
      </w:r>
      <w:proofErr w:type="spellStart"/>
      <w:r>
        <w:rPr>
          <w:color w:val="333333"/>
        </w:rPr>
        <w:t>hyperscalers</w:t>
      </w:r>
      <w:proofErr w:type="spellEnd"/>
      <w:r>
        <w:rPr>
          <w:color w:val="333333"/>
        </w:rPr>
        <w:t xml:space="preserve">) to build AI data centres in Australia. Leverage </w:t>
      </w:r>
      <w:r>
        <w:rPr>
          <w:color w:val="333333"/>
        </w:rPr>
        <w:lastRenderedPageBreak/>
        <w:t>AUKUS and Five Eyes security credentials as a differentiator for sensitive AI workloads.</w:t>
      </w:r>
    </w:p>
    <w:p w14:paraId="2D5EF075" w14:textId="77777777" w:rsidR="00F77B06" w:rsidRDefault="00000000">
      <w:pPr>
        <w:pStyle w:val="ListParagraph"/>
        <w:numPr>
          <w:ilvl w:val="0"/>
          <w:numId w:val="3"/>
        </w:numPr>
        <w:spacing w:after="120" w:line="300" w:lineRule="auto"/>
      </w:pPr>
      <w:r>
        <w:rPr>
          <w:b/>
          <w:bCs/>
          <w:color w:val="333333"/>
        </w:rPr>
        <w:t xml:space="preserve">Nuclear-Powered Data Campuses: </w:t>
      </w:r>
      <w:r>
        <w:rPr>
          <w:color w:val="333333"/>
        </w:rPr>
        <w:t>Following the US model, facilitate the co-location of SMRs with major data centre developments to provide dedicated, zero-emission, baseload power at the point of consumption. This eliminates transmission losses and provides the power certainty that AI workloads demand.</w:t>
      </w:r>
    </w:p>
    <w:p w14:paraId="2E3B9198" w14:textId="77777777" w:rsidR="00F77B06" w:rsidRDefault="00000000">
      <w:pPr>
        <w:pStyle w:val="ListParagraph"/>
        <w:numPr>
          <w:ilvl w:val="0"/>
          <w:numId w:val="3"/>
        </w:numPr>
        <w:spacing w:after="120" w:line="300" w:lineRule="auto"/>
      </w:pPr>
      <w:r>
        <w:rPr>
          <w:b/>
          <w:bCs/>
          <w:color w:val="333333"/>
        </w:rPr>
        <w:t xml:space="preserve">Subsea Cable and Connectivity Investment: </w:t>
      </w:r>
      <w:r>
        <w:rPr>
          <w:color w:val="333333"/>
        </w:rPr>
        <w:t>Co-invest in additional subsea fibre-optic links to Singapore, Japan and the US West Coast, ensuring that Australian data centres can serve Indo-Pacific and global markets with minimal latency.</w:t>
      </w:r>
    </w:p>
    <w:p w14:paraId="3E4D4CEF" w14:textId="77777777" w:rsidR="00F77B06" w:rsidRDefault="00000000">
      <w:pPr>
        <w:pStyle w:val="ListParagraph"/>
        <w:numPr>
          <w:ilvl w:val="0"/>
          <w:numId w:val="3"/>
        </w:numPr>
        <w:spacing w:after="200" w:line="300" w:lineRule="auto"/>
      </w:pPr>
      <w:r>
        <w:rPr>
          <w:b/>
          <w:bCs/>
          <w:color w:val="333333"/>
        </w:rPr>
        <w:t xml:space="preserve">Uranium Export Strategy: </w:t>
      </w:r>
      <w:r>
        <w:rPr>
          <w:color w:val="333333"/>
        </w:rPr>
        <w:t>Position Australia as the “reliable ally” supplier of nuclear fuel to the Western alliance and Indo-Pacific partners. As the US and allied nations seek to reduce dependence on Russian enriched uranium (which still supplies approximately 25% of US reactor fuel), Australia’s stable, democratic, allied-nation uranium supply becomes a critical geopolitical asset.</w:t>
      </w:r>
    </w:p>
    <w:p w14:paraId="368D4910" w14:textId="77777777" w:rsidR="00F77B06" w:rsidRDefault="00000000">
      <w:pPr>
        <w:pStyle w:val="Heading2"/>
      </w:pPr>
      <w:r>
        <w:t>Pillar 5: Protect Australian Households and Regional Communities</w:t>
      </w:r>
    </w:p>
    <w:p w14:paraId="6538B54A" w14:textId="77777777" w:rsidR="00F77B06" w:rsidRDefault="00000000">
      <w:pPr>
        <w:spacing w:before="200" w:after="100"/>
      </w:pPr>
      <w:r>
        <w:rPr>
          <w:b/>
          <w:bCs/>
          <w:color w:val="1B2A4A"/>
          <w:sz w:val="24"/>
          <w:szCs w:val="24"/>
        </w:rPr>
        <w:t>Rationale</w:t>
      </w:r>
    </w:p>
    <w:p w14:paraId="4B8FC6DA" w14:textId="77777777" w:rsidR="00F77B06" w:rsidRDefault="00000000">
      <w:pPr>
        <w:spacing w:after="160" w:line="300" w:lineRule="auto"/>
        <w:jc w:val="both"/>
      </w:pPr>
      <w:r>
        <w:rPr>
          <w:color w:val="333333"/>
        </w:rPr>
        <w:t>Energy policy must serve the people, not the other way around. Every policy decision in this platform is tested against one overriding question: does this reduce costs and increase reliability for Australian families and businesses? The regions that have powered this nation for generations — the Hunter Valley, the Latrobe Valley, Central Queensland, Collie — must not be abandoned to satisfy inner-city ideological preferences.</w:t>
      </w:r>
    </w:p>
    <w:p w14:paraId="65CC7368" w14:textId="77777777" w:rsidR="00F77B06" w:rsidRDefault="00000000">
      <w:pPr>
        <w:spacing w:before="200" w:after="100"/>
      </w:pPr>
      <w:r>
        <w:rPr>
          <w:b/>
          <w:bCs/>
          <w:color w:val="1B2A4A"/>
          <w:sz w:val="24"/>
          <w:szCs w:val="24"/>
        </w:rPr>
        <w:t>Policy Commitments</w:t>
      </w:r>
    </w:p>
    <w:p w14:paraId="6F74514B" w14:textId="77777777" w:rsidR="00F77B06" w:rsidRDefault="00000000">
      <w:pPr>
        <w:pStyle w:val="ListParagraph"/>
        <w:numPr>
          <w:ilvl w:val="0"/>
          <w:numId w:val="3"/>
        </w:numPr>
        <w:spacing w:after="120" w:line="300" w:lineRule="auto"/>
      </w:pPr>
      <w:r>
        <w:rPr>
          <w:b/>
          <w:bCs/>
          <w:color w:val="333333"/>
        </w:rPr>
        <w:t xml:space="preserve">Electricity Price Cap Mechanism: </w:t>
      </w:r>
      <w:r>
        <w:rPr>
          <w:color w:val="333333"/>
        </w:rPr>
        <w:t>Introduce a wholesale electricity price ceiling tied to the long-run marginal cost of dispatchable generation, preventing the price spikes caused by over-reliance on intermittent sources during low-wind, low-solar periods.</w:t>
      </w:r>
    </w:p>
    <w:p w14:paraId="5C5F9564" w14:textId="77777777" w:rsidR="00F77B06" w:rsidRDefault="00000000">
      <w:pPr>
        <w:pStyle w:val="ListParagraph"/>
        <w:numPr>
          <w:ilvl w:val="0"/>
          <w:numId w:val="3"/>
        </w:numPr>
        <w:spacing w:after="120" w:line="300" w:lineRule="auto"/>
      </w:pPr>
      <w:r>
        <w:rPr>
          <w:b/>
          <w:bCs/>
          <w:color w:val="333333"/>
        </w:rPr>
        <w:t xml:space="preserve">Regional Energy Transition Fund: </w:t>
      </w:r>
      <w:r>
        <w:rPr>
          <w:color w:val="333333"/>
        </w:rPr>
        <w:t>Establish a $5 billion fund to support communities transitioning from coal to nuclear and advanced energy industries. Focus on retraining, local infrastructure, and ensuring that the same communities that powered Australia’s past also power its future.</w:t>
      </w:r>
    </w:p>
    <w:p w14:paraId="59F313F0" w14:textId="77777777" w:rsidR="00F77B06" w:rsidRDefault="00000000">
      <w:pPr>
        <w:pStyle w:val="ListParagraph"/>
        <w:numPr>
          <w:ilvl w:val="0"/>
          <w:numId w:val="3"/>
        </w:numPr>
        <w:spacing w:after="120" w:line="300" w:lineRule="auto"/>
      </w:pPr>
      <w:r>
        <w:rPr>
          <w:b/>
          <w:bCs/>
          <w:color w:val="333333"/>
        </w:rPr>
        <w:t xml:space="preserve">Remote and Indigenous Community Power: </w:t>
      </w:r>
      <w:r>
        <w:rPr>
          <w:color w:val="333333"/>
        </w:rPr>
        <w:t>Deploy microgrids combining solar, battery storage and micro-nuclear reactors to provide reliable, affordable power to remote and Indigenous communities currently reliant on expensive diesel generation.</w:t>
      </w:r>
    </w:p>
    <w:p w14:paraId="5D50CCA1" w14:textId="77777777" w:rsidR="00F77B06" w:rsidRDefault="00000000">
      <w:pPr>
        <w:pStyle w:val="ListParagraph"/>
        <w:numPr>
          <w:ilvl w:val="0"/>
          <w:numId w:val="3"/>
        </w:numPr>
        <w:spacing w:after="200" w:line="300" w:lineRule="auto"/>
      </w:pPr>
      <w:r>
        <w:rPr>
          <w:b/>
          <w:bCs/>
          <w:color w:val="333333"/>
        </w:rPr>
        <w:t xml:space="preserve">Manufacturing Energy Guarantee: </w:t>
      </w:r>
      <w:r>
        <w:rPr>
          <w:color w:val="333333"/>
        </w:rPr>
        <w:t>Guarantee long-term, competitively priced power supply contracts to Australian manufacturers, smelters and heavy industry to prevent the offshoring of energy-intensive production to nations with weaker environmental standards.</w:t>
      </w:r>
    </w:p>
    <w:p w14:paraId="7FC732A6" w14:textId="77777777" w:rsidR="00F77B06" w:rsidRDefault="00000000">
      <w:pPr>
        <w:pStyle w:val="Heading1"/>
      </w:pPr>
      <w:r>
        <w:lastRenderedPageBreak/>
        <w:t>PART III: THE ECONOMIC CASE</w:t>
      </w:r>
    </w:p>
    <w:p w14:paraId="17EEF54E" w14:textId="77777777" w:rsidR="00F77B06" w:rsidRDefault="00000000">
      <w:pPr>
        <w:pStyle w:val="Heading2"/>
      </w:pPr>
      <w:r>
        <w:t>3.1  Cost Comparison: The Full Picture</w:t>
      </w:r>
    </w:p>
    <w:p w14:paraId="4545737F" w14:textId="77777777" w:rsidR="00F77B06" w:rsidRDefault="00000000">
      <w:pPr>
        <w:spacing w:after="160" w:line="300" w:lineRule="auto"/>
        <w:jc w:val="both"/>
      </w:pPr>
      <w:r>
        <w:rPr>
          <w:color w:val="333333"/>
        </w:rPr>
        <w:t xml:space="preserve">Advocates of a renewables-only transition routinely cite the falling </w:t>
      </w:r>
      <w:proofErr w:type="spellStart"/>
      <w:r>
        <w:rPr>
          <w:color w:val="333333"/>
        </w:rPr>
        <w:t>levelised</w:t>
      </w:r>
      <w:proofErr w:type="spellEnd"/>
      <w:r>
        <w:rPr>
          <w:color w:val="333333"/>
        </w:rPr>
        <w:t xml:space="preserve"> cost of energy (LCOE) for wind and solar as proof that these sources are “the cheapest.” This is a misleading half-truth. LCOE measures the cost at the generator; it excludes the system-level costs of firming (batteries, gas backup), transmission augmentation, curtailment during oversupply, and the grid services (frequency control, inertia, voltage support) that dispatchable generators provide for free.</w:t>
      </w:r>
    </w:p>
    <w:p w14:paraId="146CB7E4" w14:textId="77777777" w:rsidR="00F77B06" w:rsidRDefault="00000000">
      <w:pPr>
        <w:spacing w:after="160" w:line="300" w:lineRule="auto"/>
        <w:jc w:val="both"/>
      </w:pPr>
      <w:r>
        <w:rPr>
          <w:color w:val="333333"/>
        </w:rPr>
        <w:t>When full system costs are accounted for, the picture changes materially: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9"/>
        <w:gridCol w:w="3009"/>
        <w:gridCol w:w="3008"/>
      </w:tblGrid>
      <w:tr w:rsidR="00F77B06" w14:paraId="384E433B" w14:textId="77777777">
        <w:tblPrEx>
          <w:tblCellMar>
            <w:top w:w="0" w:type="dxa"/>
            <w:bottom w:w="0" w:type="dxa"/>
          </w:tblCellMar>
        </w:tblPrEx>
        <w:tc>
          <w:tcPr>
            <w:tcW w:w="3009"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29D756C2" w14:textId="77777777" w:rsidR="00F77B06" w:rsidRDefault="00000000">
            <w:pPr>
              <w:jc w:val="center"/>
            </w:pPr>
            <w:r>
              <w:rPr>
                <w:b/>
                <w:bCs/>
                <w:color w:val="FFFFFF"/>
                <w:sz w:val="20"/>
                <w:szCs w:val="20"/>
              </w:rPr>
              <w:t>Source</w:t>
            </w:r>
          </w:p>
        </w:tc>
        <w:tc>
          <w:tcPr>
            <w:tcW w:w="3009"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45281B68" w14:textId="77777777" w:rsidR="00F77B06" w:rsidRDefault="00000000">
            <w:pPr>
              <w:jc w:val="center"/>
            </w:pPr>
            <w:r>
              <w:rPr>
                <w:b/>
                <w:bCs/>
                <w:color w:val="FFFFFF"/>
                <w:sz w:val="20"/>
                <w:szCs w:val="20"/>
              </w:rPr>
              <w:t>Generator LCOE ($/MWh)</w:t>
            </w:r>
          </w:p>
        </w:tc>
        <w:tc>
          <w:tcPr>
            <w:tcW w:w="3008"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2EB030D6" w14:textId="77777777" w:rsidR="00F77B06" w:rsidRDefault="00000000">
            <w:pPr>
              <w:jc w:val="center"/>
            </w:pPr>
            <w:r>
              <w:rPr>
                <w:b/>
                <w:bCs/>
                <w:color w:val="FFFFFF"/>
                <w:sz w:val="20"/>
                <w:szCs w:val="20"/>
              </w:rPr>
              <w:t>System Cost ($/MWh)</w:t>
            </w:r>
          </w:p>
        </w:tc>
      </w:tr>
      <w:tr w:rsidR="00F77B06" w14:paraId="6A149B6B" w14:textId="77777777">
        <w:tblPrEx>
          <w:tblCellMar>
            <w:top w:w="0" w:type="dxa"/>
            <w:bottom w:w="0" w:type="dxa"/>
          </w:tblCellMar>
        </w:tblPrEx>
        <w:tc>
          <w:tcPr>
            <w:tcW w:w="300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D75FED5" w14:textId="77777777" w:rsidR="00F77B06" w:rsidRDefault="00000000">
            <w:r>
              <w:rPr>
                <w:color w:val="333333"/>
                <w:sz w:val="20"/>
                <w:szCs w:val="20"/>
              </w:rPr>
              <w:t>Existing Coal (marginal)</w:t>
            </w:r>
          </w:p>
        </w:tc>
        <w:tc>
          <w:tcPr>
            <w:tcW w:w="300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BE0766" w14:textId="77777777" w:rsidR="00F77B06" w:rsidRDefault="00000000">
            <w:pPr>
              <w:jc w:val="center"/>
            </w:pPr>
            <w:r>
              <w:rPr>
                <w:color w:val="333333"/>
                <w:sz w:val="20"/>
                <w:szCs w:val="20"/>
              </w:rPr>
              <w:t>$40–60</w:t>
            </w:r>
          </w:p>
        </w:tc>
        <w:tc>
          <w:tcPr>
            <w:tcW w:w="30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F2E9B9C" w14:textId="77777777" w:rsidR="00F77B06" w:rsidRDefault="00000000">
            <w:pPr>
              <w:jc w:val="center"/>
            </w:pPr>
            <w:r>
              <w:rPr>
                <w:color w:val="333333"/>
                <w:sz w:val="20"/>
                <w:szCs w:val="20"/>
              </w:rPr>
              <w:t>$40–60</w:t>
            </w:r>
          </w:p>
        </w:tc>
      </w:tr>
      <w:tr w:rsidR="00F77B06" w14:paraId="6F0DF93D" w14:textId="77777777">
        <w:tblPrEx>
          <w:tblCellMar>
            <w:top w:w="0" w:type="dxa"/>
            <w:bottom w:w="0" w:type="dxa"/>
          </w:tblCellMar>
        </w:tblPrEx>
        <w:tc>
          <w:tcPr>
            <w:tcW w:w="3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9B3981" w14:textId="77777777" w:rsidR="00F77B06" w:rsidRDefault="00000000">
            <w:r>
              <w:rPr>
                <w:color w:val="333333"/>
                <w:sz w:val="20"/>
                <w:szCs w:val="20"/>
              </w:rPr>
              <w:t>Gas CCGT</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F9D756" w14:textId="77777777" w:rsidR="00F77B06" w:rsidRDefault="00000000">
            <w:pPr>
              <w:jc w:val="center"/>
            </w:pPr>
            <w:r>
              <w:rPr>
                <w:color w:val="333333"/>
                <w:sz w:val="20"/>
                <w:szCs w:val="20"/>
              </w:rPr>
              <w:t>$70–120</w:t>
            </w:r>
          </w:p>
        </w:tc>
        <w:tc>
          <w:tcPr>
            <w:tcW w:w="30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C6F766" w14:textId="77777777" w:rsidR="00F77B06" w:rsidRDefault="00000000">
            <w:pPr>
              <w:jc w:val="center"/>
            </w:pPr>
            <w:r>
              <w:rPr>
                <w:color w:val="333333"/>
                <w:sz w:val="20"/>
                <w:szCs w:val="20"/>
              </w:rPr>
              <w:t>$70–120</w:t>
            </w:r>
          </w:p>
        </w:tc>
      </w:tr>
      <w:tr w:rsidR="00F77B06" w14:paraId="67A7153A" w14:textId="77777777">
        <w:tblPrEx>
          <w:tblCellMar>
            <w:top w:w="0" w:type="dxa"/>
            <w:bottom w:w="0" w:type="dxa"/>
          </w:tblCellMar>
        </w:tblPrEx>
        <w:tc>
          <w:tcPr>
            <w:tcW w:w="300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61F9CAA" w14:textId="77777777" w:rsidR="00F77B06" w:rsidRDefault="00000000">
            <w:r>
              <w:rPr>
                <w:color w:val="333333"/>
                <w:sz w:val="20"/>
                <w:szCs w:val="20"/>
              </w:rPr>
              <w:t>Wind (onshore)</w:t>
            </w:r>
          </w:p>
        </w:tc>
        <w:tc>
          <w:tcPr>
            <w:tcW w:w="300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5C9D0D8" w14:textId="77777777" w:rsidR="00F77B06" w:rsidRDefault="00000000">
            <w:pPr>
              <w:jc w:val="center"/>
            </w:pPr>
            <w:r>
              <w:rPr>
                <w:color w:val="333333"/>
                <w:sz w:val="20"/>
                <w:szCs w:val="20"/>
              </w:rPr>
              <w:t>$35–70</w:t>
            </w:r>
          </w:p>
        </w:tc>
        <w:tc>
          <w:tcPr>
            <w:tcW w:w="30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A5DB2F4" w14:textId="77777777" w:rsidR="00F77B06" w:rsidRDefault="00000000">
            <w:pPr>
              <w:jc w:val="center"/>
            </w:pPr>
            <w:r>
              <w:rPr>
                <w:color w:val="333333"/>
                <w:sz w:val="20"/>
                <w:szCs w:val="20"/>
              </w:rPr>
              <w:t>$100–150*</w:t>
            </w:r>
          </w:p>
        </w:tc>
      </w:tr>
      <w:tr w:rsidR="00F77B06" w14:paraId="1021EDCF" w14:textId="77777777">
        <w:tblPrEx>
          <w:tblCellMar>
            <w:top w:w="0" w:type="dxa"/>
            <w:bottom w:w="0" w:type="dxa"/>
          </w:tblCellMar>
        </w:tblPrEx>
        <w:tc>
          <w:tcPr>
            <w:tcW w:w="3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E64311" w14:textId="77777777" w:rsidR="00F77B06" w:rsidRDefault="00000000">
            <w:r>
              <w:rPr>
                <w:color w:val="333333"/>
                <w:sz w:val="20"/>
                <w:szCs w:val="20"/>
              </w:rPr>
              <w:t>Solar (utility-scale)</w:t>
            </w:r>
          </w:p>
        </w:tc>
        <w:tc>
          <w:tcPr>
            <w:tcW w:w="300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A7935C" w14:textId="77777777" w:rsidR="00F77B06" w:rsidRDefault="00000000">
            <w:pPr>
              <w:jc w:val="center"/>
            </w:pPr>
            <w:r>
              <w:rPr>
                <w:color w:val="333333"/>
                <w:sz w:val="20"/>
                <w:szCs w:val="20"/>
              </w:rPr>
              <w:t>$35–60</w:t>
            </w:r>
          </w:p>
        </w:tc>
        <w:tc>
          <w:tcPr>
            <w:tcW w:w="300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CCDC08" w14:textId="77777777" w:rsidR="00F77B06" w:rsidRDefault="00000000">
            <w:pPr>
              <w:jc w:val="center"/>
            </w:pPr>
            <w:r>
              <w:rPr>
                <w:color w:val="333333"/>
                <w:sz w:val="20"/>
                <w:szCs w:val="20"/>
              </w:rPr>
              <w:t>$100–150*</w:t>
            </w:r>
          </w:p>
        </w:tc>
      </w:tr>
      <w:tr w:rsidR="00F77B06" w14:paraId="0ECA7343" w14:textId="77777777">
        <w:tblPrEx>
          <w:tblCellMar>
            <w:top w:w="0" w:type="dxa"/>
            <w:bottom w:w="0" w:type="dxa"/>
          </w:tblCellMar>
        </w:tblPrEx>
        <w:tc>
          <w:tcPr>
            <w:tcW w:w="300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ACDBF2" w14:textId="77777777" w:rsidR="00F77B06" w:rsidRDefault="00000000">
            <w:r>
              <w:rPr>
                <w:color w:val="333333"/>
                <w:sz w:val="20"/>
                <w:szCs w:val="20"/>
              </w:rPr>
              <w:t>Nuclear SMR (est. Nth-of-a-kind)</w:t>
            </w:r>
          </w:p>
        </w:tc>
        <w:tc>
          <w:tcPr>
            <w:tcW w:w="3009"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7E79CE" w14:textId="77777777" w:rsidR="00F77B06" w:rsidRDefault="00000000">
            <w:pPr>
              <w:jc w:val="center"/>
            </w:pPr>
            <w:r>
              <w:rPr>
                <w:color w:val="333333"/>
                <w:sz w:val="20"/>
                <w:szCs w:val="20"/>
              </w:rPr>
              <w:t>$64–77</w:t>
            </w:r>
          </w:p>
        </w:tc>
        <w:tc>
          <w:tcPr>
            <w:tcW w:w="3008"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1391BA" w14:textId="77777777" w:rsidR="00F77B06" w:rsidRDefault="00000000">
            <w:pPr>
              <w:jc w:val="center"/>
            </w:pPr>
            <w:r>
              <w:rPr>
                <w:color w:val="333333"/>
                <w:sz w:val="20"/>
                <w:szCs w:val="20"/>
              </w:rPr>
              <w:t>$64–77</w:t>
            </w:r>
          </w:p>
        </w:tc>
      </w:tr>
    </w:tbl>
    <w:p w14:paraId="07B47EAD" w14:textId="77777777" w:rsidR="00F77B06" w:rsidRDefault="00000000">
      <w:pPr>
        <w:spacing w:after="160" w:line="300" w:lineRule="auto"/>
        <w:jc w:val="both"/>
      </w:pPr>
      <w:r>
        <w:rPr>
          <w:i/>
          <w:iCs/>
          <w:color w:val="666666"/>
        </w:rPr>
        <w:t xml:space="preserve">* Includes $20–40/MWh firming and integration costs (storage, transmission, curtailment). Sources: AEMO, </w:t>
      </w:r>
      <w:proofErr w:type="spellStart"/>
      <w:r>
        <w:rPr>
          <w:i/>
          <w:iCs/>
          <w:color w:val="666666"/>
        </w:rPr>
        <w:t>GenCost</w:t>
      </w:r>
      <w:proofErr w:type="spellEnd"/>
      <w:r>
        <w:rPr>
          <w:i/>
          <w:iCs/>
          <w:color w:val="666666"/>
        </w:rPr>
        <w:t>, MCA/Ben Heard analysis, industry estimates.</w:t>
      </w:r>
    </w:p>
    <w:p w14:paraId="326C6234" w14:textId="77777777" w:rsidR="00F77B06" w:rsidRDefault="00000000">
      <w:pPr>
        <w:spacing w:after="160" w:line="300" w:lineRule="auto"/>
        <w:jc w:val="both"/>
      </w:pPr>
      <w:r>
        <w:rPr>
          <w:color w:val="333333"/>
        </w:rPr>
        <w:t>The table above demonstrates a critical truth: when dispatchable alternatives are compared on a system-cost basis, existing coal, gas and future nuclear are competitive with or cheaper than “firmed” renewables. The Alliance will require all future energy policy analysis to use full system cost, not generator-only LCOE.</w:t>
      </w:r>
    </w:p>
    <w:p w14:paraId="030036F1" w14:textId="77777777" w:rsidR="00F77B06" w:rsidRDefault="00000000">
      <w:pPr>
        <w:pStyle w:val="Heading2"/>
      </w:pPr>
      <w:r>
        <w:t>3.2  Employment and Regional Impact</w:t>
      </w:r>
    </w:p>
    <w:p w14:paraId="3A486B0E" w14:textId="77777777" w:rsidR="00F77B06" w:rsidRDefault="00000000">
      <w:pPr>
        <w:spacing w:after="160" w:line="300" w:lineRule="auto"/>
        <w:jc w:val="both"/>
      </w:pPr>
      <w:r>
        <w:rPr>
          <w:color w:val="333333"/>
        </w:rPr>
        <w:t>The coal mining industry directly employs approximately 50,000 Australians, with many times that number in supporting industries and regional economies. The premature closure of coal-fired power stations threatens communities in the Hunter Valley, Latrobe Valley, Gladstone, Rockhampton, and Collie.</w:t>
      </w:r>
    </w:p>
    <w:p w14:paraId="073FD813" w14:textId="77777777" w:rsidR="00F77B06" w:rsidRDefault="00000000">
      <w:pPr>
        <w:spacing w:after="160" w:line="300" w:lineRule="auto"/>
        <w:jc w:val="both"/>
      </w:pPr>
      <w:r>
        <w:rPr>
          <w:color w:val="333333"/>
        </w:rPr>
        <w:t>Nuclear energy provides a direct pathway for these communities. Nuclear plant operations require highly skilled workforces — engineers, operators, maintenance technicians, security personnel — in roles that can be filled by retrained coal industry workers. Iceland’s experience with sustainable AI infrastructure demonstrates the potential: a country of only 370,000 people created over 4,200 direct jobs and 11,000 indirect jobs from data centre infrastructure, contributing 8.7% of GDP.</w:t>
      </w:r>
    </w:p>
    <w:p w14:paraId="37510F2B" w14:textId="77777777" w:rsidR="00F77B06" w:rsidRDefault="00000000">
      <w:pPr>
        <w:spacing w:after="160" w:line="300" w:lineRule="auto"/>
        <w:jc w:val="both"/>
      </w:pPr>
      <w:r>
        <w:rPr>
          <w:color w:val="333333"/>
        </w:rPr>
        <w:t>Australia, with its vastly larger resource base and population, could reasonably expect the combined nuclear-plus-data-centre opportunity to generate tens of thousands of high-quality regional jobs.</w:t>
      </w:r>
    </w:p>
    <w:p w14:paraId="3BBFBC4A" w14:textId="77777777" w:rsidR="00F77B06" w:rsidRDefault="00000000">
      <w:pPr>
        <w:pStyle w:val="Heading2"/>
      </w:pPr>
      <w:r>
        <w:lastRenderedPageBreak/>
        <w:t>3.3  The Strategic Export Dividend</w:t>
      </w:r>
    </w:p>
    <w:p w14:paraId="45A72A4A" w14:textId="77777777" w:rsidR="00F77B06" w:rsidRDefault="00000000">
      <w:pPr>
        <w:spacing w:after="160" w:line="300" w:lineRule="auto"/>
        <w:jc w:val="both"/>
      </w:pPr>
      <w:r>
        <w:rPr>
          <w:color w:val="333333"/>
        </w:rPr>
        <w:t>Australia is already one of the world’s largest energy exporters — the third-largest for fossil fuels in 2021, behind only Russia and the United States. LNG, thermal coal and metallurgical coal exports generate tens of billions of dollars annually. Rather than voluntarily surrendering these revenues, the Alliance’s strategy adds new export streams on top of existing ones:</w:t>
      </w:r>
    </w:p>
    <w:p w14:paraId="390E36B2" w14:textId="77777777" w:rsidR="00F77B06" w:rsidRDefault="00000000">
      <w:pPr>
        <w:pStyle w:val="ListParagraph"/>
        <w:numPr>
          <w:ilvl w:val="0"/>
          <w:numId w:val="3"/>
        </w:numPr>
        <w:spacing w:after="100" w:line="300" w:lineRule="auto"/>
      </w:pPr>
      <w:r>
        <w:rPr>
          <w:b/>
          <w:bCs/>
          <w:color w:val="333333"/>
        </w:rPr>
        <w:t xml:space="preserve">Expanded uranium exports </w:t>
      </w:r>
      <w:r>
        <w:rPr>
          <w:color w:val="333333"/>
        </w:rPr>
        <w:t>to meet surging global nuclear demand (projected 117% increase by 2040).</w:t>
      </w:r>
    </w:p>
    <w:p w14:paraId="71550E06" w14:textId="77777777" w:rsidR="00F77B06" w:rsidRDefault="00000000">
      <w:pPr>
        <w:pStyle w:val="ListParagraph"/>
        <w:numPr>
          <w:ilvl w:val="0"/>
          <w:numId w:val="3"/>
        </w:numPr>
        <w:spacing w:after="100" w:line="300" w:lineRule="auto"/>
      </w:pPr>
      <w:r>
        <w:rPr>
          <w:b/>
          <w:bCs/>
          <w:color w:val="333333"/>
        </w:rPr>
        <w:t xml:space="preserve">Nuclear fuel processing and enrichment services </w:t>
      </w:r>
      <w:r>
        <w:rPr>
          <w:color w:val="333333"/>
        </w:rPr>
        <w:t>— moving up the value chain from raw ore to finished fuel.</w:t>
      </w:r>
    </w:p>
    <w:p w14:paraId="6707E155" w14:textId="77777777" w:rsidR="00F77B06" w:rsidRDefault="00000000">
      <w:pPr>
        <w:pStyle w:val="ListParagraph"/>
        <w:numPr>
          <w:ilvl w:val="0"/>
          <w:numId w:val="3"/>
        </w:numPr>
        <w:spacing w:after="100" w:line="300" w:lineRule="auto"/>
      </w:pPr>
      <w:r>
        <w:rPr>
          <w:b/>
          <w:bCs/>
          <w:color w:val="333333"/>
        </w:rPr>
        <w:t xml:space="preserve">AI data centre services </w:t>
      </w:r>
      <w:r>
        <w:rPr>
          <w:color w:val="333333"/>
        </w:rPr>
        <w:t>— exported as “compute capacity” powered by Australian energy.</w:t>
      </w:r>
    </w:p>
    <w:p w14:paraId="345C5C1C" w14:textId="77777777" w:rsidR="00F77B06" w:rsidRDefault="00000000">
      <w:pPr>
        <w:pStyle w:val="ListParagraph"/>
        <w:numPr>
          <w:ilvl w:val="0"/>
          <w:numId w:val="3"/>
        </w:numPr>
        <w:spacing w:after="200" w:line="300" w:lineRule="auto"/>
      </w:pPr>
      <w:r>
        <w:rPr>
          <w:b/>
          <w:bCs/>
          <w:color w:val="333333"/>
        </w:rPr>
        <w:t xml:space="preserve">Continued LNG and coal exports </w:t>
      </w:r>
      <w:r>
        <w:rPr>
          <w:color w:val="333333"/>
        </w:rPr>
        <w:t>to regional partners (Japan, South Korea, India, Southeast Asia) who rely on Australian energy for their own industrial development.</w:t>
      </w:r>
    </w:p>
    <w:p w14:paraId="56467D08" w14:textId="77777777" w:rsidR="00F77B06" w:rsidRDefault="00000000">
      <w:pPr>
        <w:pStyle w:val="Heading1"/>
      </w:pPr>
      <w:r>
        <w:t>PART IV: ADDRESSING OBJECTIONS</w:t>
      </w:r>
    </w:p>
    <w:p w14:paraId="69377418" w14:textId="77777777" w:rsidR="00F77B06" w:rsidRDefault="00000000">
      <w:pPr>
        <w:pStyle w:val="Heading2"/>
      </w:pPr>
      <w:r>
        <w:t>4.1  “Nuclear is too expensive and takes too long.”</w:t>
      </w:r>
    </w:p>
    <w:p w14:paraId="0F6DB4E8" w14:textId="77777777" w:rsidR="00F77B06" w:rsidRDefault="00000000">
      <w:pPr>
        <w:spacing w:after="160" w:line="300" w:lineRule="auto"/>
        <w:jc w:val="both"/>
      </w:pPr>
      <w:r>
        <w:rPr>
          <w:color w:val="333333"/>
        </w:rPr>
        <w:t xml:space="preserve">The cost and timeline challenges of first-of-a-kind nuclear projects are real but not permanent. SMR technology is specifically designed to overcome the bespoke, site-specific construction model that has plagued large-scale nuclear. Factory fabrication, modular assembly, and serial production are intended to drive down costs through learning curves and economies of series — the same dynamics that reduced solar panel costs over two decades. Australia need not be first; we can procure proven designs from allied nations and benefit from their commissioning experience. The estimated </w:t>
      </w:r>
      <w:proofErr w:type="spellStart"/>
      <w:r>
        <w:rPr>
          <w:color w:val="333333"/>
        </w:rPr>
        <w:t>levelised</w:t>
      </w:r>
      <w:proofErr w:type="spellEnd"/>
      <w:r>
        <w:rPr>
          <w:color w:val="333333"/>
        </w:rPr>
        <w:t xml:space="preserve"> cost for Nth-of-a-kind SMRs (AUD$64–77/MWh) is competitive with firmed renewables.</w:t>
      </w:r>
    </w:p>
    <w:p w14:paraId="7EC1E93E" w14:textId="77777777" w:rsidR="00F77B06" w:rsidRDefault="00000000">
      <w:pPr>
        <w:pStyle w:val="Heading2"/>
      </w:pPr>
      <w:r>
        <w:t>4.2  “Renewables are cheaper.”</w:t>
      </w:r>
    </w:p>
    <w:p w14:paraId="701DDBDE" w14:textId="77777777" w:rsidR="00F77B06" w:rsidRDefault="00000000">
      <w:pPr>
        <w:spacing w:after="160" w:line="300" w:lineRule="auto"/>
        <w:jc w:val="both"/>
      </w:pPr>
      <w:r>
        <w:rPr>
          <w:color w:val="333333"/>
        </w:rPr>
        <w:t>Only at the generator. As demonstrated in Section 3.1, when full system costs are included — firming, storage, transmission, curtailment, and grid services — intermittent renewables lose their cost advantage. Furthermore, the duck curve phenomenon is already evident in Australia: 4.5 TWh of solar and wind were curtailed (wasted) in 2024 alone, representing billions of dollars of investment producing zero useful output during periods of oversupply.</w:t>
      </w:r>
    </w:p>
    <w:p w14:paraId="4488C6AA" w14:textId="77777777" w:rsidR="00F77B06" w:rsidRDefault="00000000">
      <w:pPr>
        <w:pStyle w:val="Heading2"/>
      </w:pPr>
      <w:r>
        <w:t>4.3  “Australia’s emissions are too small to matter.”</w:t>
      </w:r>
    </w:p>
    <w:p w14:paraId="4E3A3AB4" w14:textId="77777777" w:rsidR="00F77B06" w:rsidRDefault="00000000">
      <w:pPr>
        <w:spacing w:after="160" w:line="300" w:lineRule="auto"/>
        <w:jc w:val="both"/>
      </w:pPr>
      <w:r>
        <w:rPr>
          <w:color w:val="333333"/>
        </w:rPr>
        <w:t xml:space="preserve">We agree that Australia’s 1% share of global emissions means unilateral action will not measurably change global temperature outcomes. This is precisely why we reject policies that impose enormous costs for negligible environmental benefit. Our most effective contribution to global decarbonisation is exporting clean energy technology and fuel: Australian uranium can displace coal-fired generation in countries like India and China, achieving emission </w:t>
      </w:r>
      <w:r>
        <w:rPr>
          <w:color w:val="333333"/>
        </w:rPr>
        <w:lastRenderedPageBreak/>
        <w:t>reductions orders of magnitude greater than anything achievable by shutting down Australian industry.</w:t>
      </w:r>
    </w:p>
    <w:p w14:paraId="2AEAE827" w14:textId="77777777" w:rsidR="00F77B06" w:rsidRDefault="00000000">
      <w:pPr>
        <w:pStyle w:val="Heading2"/>
      </w:pPr>
      <w:r>
        <w:t>4.4  “What about nuclear waste?”</w:t>
      </w:r>
    </w:p>
    <w:p w14:paraId="10D8F511" w14:textId="77777777" w:rsidR="00F77B06" w:rsidRDefault="00000000">
      <w:pPr>
        <w:spacing w:after="160" w:line="300" w:lineRule="auto"/>
        <w:jc w:val="both"/>
      </w:pPr>
      <w:r>
        <w:rPr>
          <w:color w:val="333333"/>
        </w:rPr>
        <w:t>Modern SMR designs produce significantly less waste than traditional large reactors, and that waste can be managed safely with proven technologies used for decades in allied nations. Australia’s vast, geologically stable interior provides ideal conditions for long-term storage. Moreover, the volume of nuclear waste is minuscule compared to the land, material and lifecycle waste generated by wind and solar installations at equivalent capacity.</w:t>
      </w:r>
    </w:p>
    <w:p w14:paraId="6E3E38EE" w14:textId="77777777" w:rsidR="00F77B06" w:rsidRDefault="00000000">
      <w:pPr>
        <w:pStyle w:val="Heading2"/>
      </w:pPr>
      <w:r>
        <w:t>4.5  “This ignores climate science.”</w:t>
      </w:r>
    </w:p>
    <w:p w14:paraId="641B05A9" w14:textId="77777777" w:rsidR="00F77B06" w:rsidRDefault="00000000">
      <w:pPr>
        <w:spacing w:after="160" w:line="300" w:lineRule="auto"/>
        <w:jc w:val="both"/>
      </w:pPr>
      <w:r>
        <w:rPr>
          <w:color w:val="333333"/>
        </w:rPr>
        <w:t>This policy does not ignore climate science. It applies a principle of proportionality. Australia can and should reduce emissions where it is economically rational to do so — and a hybrid strategy including nuclear and cleaner fossil fuel technology does exactly that. What we refuse to do is destroy Australian livelihoods, energy security and industrial capability in pursuit of a target (Net Zero by 2050) that, even if achieved domestically, would have no statistically significant impact on global climate trajectories without corresponding action by China, India and the United States.</w:t>
      </w:r>
    </w:p>
    <w:p w14:paraId="7BB50054" w14:textId="77777777" w:rsidR="00F77B06" w:rsidRDefault="00000000">
      <w:pPr>
        <w:pStyle w:val="Heading1"/>
      </w:pPr>
      <w:r>
        <w:t>PART V: IMPLEMENTATION TIMELINE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500"/>
        <w:gridCol w:w="4526"/>
      </w:tblGrid>
      <w:tr w:rsidR="00F77B06" w14:paraId="0D0663C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69DA91D8" w14:textId="77777777" w:rsidR="00F77B06" w:rsidRDefault="00000000">
            <w:r>
              <w:rPr>
                <w:b/>
                <w:bCs/>
                <w:color w:val="FFFFFF"/>
                <w:sz w:val="20"/>
                <w:szCs w:val="20"/>
              </w:rPr>
              <w:t>Phase</w:t>
            </w:r>
          </w:p>
        </w:tc>
        <w:tc>
          <w:tcPr>
            <w:tcW w:w="25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11A0B13" w14:textId="77777777" w:rsidR="00F77B06" w:rsidRDefault="00000000">
            <w:r>
              <w:rPr>
                <w:b/>
                <w:bCs/>
                <w:color w:val="FFFFFF"/>
                <w:sz w:val="20"/>
                <w:szCs w:val="20"/>
              </w:rPr>
              <w:t>Timeframe</w:t>
            </w:r>
          </w:p>
        </w:tc>
        <w:tc>
          <w:tcPr>
            <w:tcW w:w="452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5F279830" w14:textId="77777777" w:rsidR="00F77B06" w:rsidRDefault="00000000">
            <w:r>
              <w:rPr>
                <w:b/>
                <w:bCs/>
                <w:color w:val="FFFFFF"/>
                <w:sz w:val="20"/>
                <w:szCs w:val="20"/>
              </w:rPr>
              <w:t>Key Actions</w:t>
            </w:r>
          </w:p>
        </w:tc>
      </w:tr>
      <w:tr w:rsidR="00F77B06" w14:paraId="7E4809E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2F5FCD" w14:textId="77777777" w:rsidR="00F77B06" w:rsidRDefault="00000000">
            <w:pPr>
              <w:spacing w:after="40"/>
            </w:pPr>
            <w:r>
              <w:rPr>
                <w:b/>
                <w:bCs/>
                <w:color w:val="333333"/>
                <w:sz w:val="19"/>
                <w:szCs w:val="19"/>
              </w:rPr>
              <w:t>Phase 1:</w:t>
            </w:r>
          </w:p>
          <w:p w14:paraId="397B1B62" w14:textId="77777777" w:rsidR="00F77B06" w:rsidRDefault="00000000">
            <w:pPr>
              <w:spacing w:after="40"/>
            </w:pPr>
            <w:r>
              <w:rPr>
                <w:b/>
                <w:bCs/>
                <w:color w:val="333333"/>
                <w:sz w:val="19"/>
                <w:szCs w:val="19"/>
              </w:rPr>
              <w:t>Immediate</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D64542" w14:textId="77777777" w:rsidR="00F77B06" w:rsidRDefault="00000000">
            <w:pPr>
              <w:spacing w:after="40"/>
            </w:pPr>
            <w:r>
              <w:rPr>
                <w:color w:val="333333"/>
                <w:sz w:val="19"/>
                <w:szCs w:val="19"/>
              </w:rPr>
              <w:t>2027–2029</w:t>
            </w:r>
          </w:p>
          <w:p w14:paraId="312BD9D5" w14:textId="77777777" w:rsidR="00F77B06" w:rsidRDefault="00000000">
            <w:pPr>
              <w:spacing w:after="40"/>
            </w:pPr>
            <w:r>
              <w:rPr>
                <w:color w:val="333333"/>
                <w:sz w:val="19"/>
                <w:szCs w:val="19"/>
              </w:rPr>
              <w:t>(Years 1–3)</w:t>
            </w:r>
          </w:p>
        </w:tc>
        <w:tc>
          <w:tcPr>
            <w:tcW w:w="45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A508695" w14:textId="77777777" w:rsidR="00F77B06" w:rsidRDefault="00000000">
            <w:pPr>
              <w:spacing w:after="40"/>
            </w:pPr>
            <w:r>
              <w:rPr>
                <w:color w:val="333333"/>
                <w:sz w:val="19"/>
                <w:szCs w:val="19"/>
              </w:rPr>
              <w:t>Repeal nuclear ban. Extend coal fleet life. Build 5–10 GW gas. Designate AI Energy Zones. Establish Nuclear Energy Agency. Repeal RET.</w:t>
            </w:r>
          </w:p>
        </w:tc>
      </w:tr>
      <w:tr w:rsidR="00F77B06" w14:paraId="0AB9F98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B09B7E" w14:textId="77777777" w:rsidR="00F77B06" w:rsidRDefault="00000000">
            <w:pPr>
              <w:spacing w:after="40"/>
            </w:pPr>
            <w:r>
              <w:rPr>
                <w:b/>
                <w:bCs/>
                <w:color w:val="333333"/>
                <w:sz w:val="19"/>
                <w:szCs w:val="19"/>
              </w:rPr>
              <w:t>Phase 2:</w:t>
            </w:r>
          </w:p>
          <w:p w14:paraId="0E49E9A6" w14:textId="77777777" w:rsidR="00F77B06" w:rsidRDefault="00000000">
            <w:pPr>
              <w:spacing w:after="40"/>
            </w:pPr>
            <w:r>
              <w:rPr>
                <w:b/>
                <w:bCs/>
                <w:color w:val="333333"/>
                <w:sz w:val="19"/>
                <w:szCs w:val="19"/>
              </w:rPr>
              <w:t>Foundation</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95339C" w14:textId="77777777" w:rsidR="00F77B06" w:rsidRDefault="00000000">
            <w:pPr>
              <w:spacing w:after="40"/>
            </w:pPr>
            <w:r>
              <w:rPr>
                <w:color w:val="333333"/>
                <w:sz w:val="19"/>
                <w:szCs w:val="19"/>
              </w:rPr>
              <w:t>2029–2032</w:t>
            </w:r>
          </w:p>
          <w:p w14:paraId="2AE9CB41" w14:textId="77777777" w:rsidR="00F77B06" w:rsidRDefault="00000000">
            <w:pPr>
              <w:spacing w:after="40"/>
            </w:pPr>
            <w:r>
              <w:rPr>
                <w:color w:val="333333"/>
                <w:sz w:val="19"/>
                <w:szCs w:val="19"/>
              </w:rPr>
              <w:t>(Years 3–6)</w:t>
            </w:r>
          </w:p>
        </w:tc>
        <w:tc>
          <w:tcPr>
            <w:tcW w:w="4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273F73" w14:textId="77777777" w:rsidR="00F77B06" w:rsidRDefault="00000000">
            <w:pPr>
              <w:spacing w:after="40"/>
            </w:pPr>
            <w:r>
              <w:rPr>
                <w:color w:val="333333"/>
                <w:sz w:val="19"/>
                <w:szCs w:val="19"/>
              </w:rPr>
              <w:t>Begin SMR procurement and site preparation. Expand uranium mining. Attract first data centre investments. Launch workforce training.</w:t>
            </w:r>
          </w:p>
        </w:tc>
      </w:tr>
      <w:tr w:rsidR="00F77B06" w14:paraId="290BB18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A61585" w14:textId="77777777" w:rsidR="00F77B06" w:rsidRDefault="00000000">
            <w:pPr>
              <w:spacing w:after="40"/>
            </w:pPr>
            <w:r>
              <w:rPr>
                <w:b/>
                <w:bCs/>
                <w:color w:val="333333"/>
                <w:sz w:val="19"/>
                <w:szCs w:val="19"/>
              </w:rPr>
              <w:t>Phase 3:</w:t>
            </w:r>
          </w:p>
          <w:p w14:paraId="4D945D9E" w14:textId="77777777" w:rsidR="00F77B06" w:rsidRDefault="00000000">
            <w:pPr>
              <w:spacing w:after="40"/>
            </w:pPr>
            <w:r>
              <w:rPr>
                <w:b/>
                <w:bCs/>
                <w:color w:val="333333"/>
                <w:sz w:val="19"/>
                <w:szCs w:val="19"/>
              </w:rPr>
              <w:t>Deployment</w:t>
            </w:r>
          </w:p>
        </w:tc>
        <w:tc>
          <w:tcPr>
            <w:tcW w:w="25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FD8491E" w14:textId="77777777" w:rsidR="00F77B06" w:rsidRDefault="00000000">
            <w:pPr>
              <w:spacing w:after="40"/>
            </w:pPr>
            <w:r>
              <w:rPr>
                <w:color w:val="333333"/>
                <w:sz w:val="19"/>
                <w:szCs w:val="19"/>
              </w:rPr>
              <w:t>2032–2037</w:t>
            </w:r>
          </w:p>
          <w:p w14:paraId="3779F21E" w14:textId="77777777" w:rsidR="00F77B06" w:rsidRDefault="00000000">
            <w:pPr>
              <w:spacing w:after="40"/>
            </w:pPr>
            <w:r>
              <w:rPr>
                <w:color w:val="333333"/>
                <w:sz w:val="19"/>
                <w:szCs w:val="19"/>
              </w:rPr>
              <w:t>(Years 6–11)</w:t>
            </w:r>
          </w:p>
        </w:tc>
        <w:tc>
          <w:tcPr>
            <w:tcW w:w="45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4A4A27" w14:textId="77777777" w:rsidR="00F77B06" w:rsidRDefault="00000000">
            <w:pPr>
              <w:spacing w:after="40"/>
            </w:pPr>
            <w:r>
              <w:rPr>
                <w:color w:val="333333"/>
                <w:sz w:val="19"/>
                <w:szCs w:val="19"/>
              </w:rPr>
              <w:t>First SMRs online (1–2 GW). Nuclear-powered data campuses operational. Coal transitions at sites with nuclear replacement. Domestic enrichment pilot.</w:t>
            </w:r>
          </w:p>
        </w:tc>
      </w:tr>
      <w:tr w:rsidR="00F77B06" w14:paraId="012FD94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A66F72" w14:textId="77777777" w:rsidR="00F77B06" w:rsidRDefault="00000000">
            <w:pPr>
              <w:spacing w:after="40"/>
            </w:pPr>
            <w:r>
              <w:rPr>
                <w:b/>
                <w:bCs/>
                <w:color w:val="333333"/>
                <w:sz w:val="19"/>
                <w:szCs w:val="19"/>
              </w:rPr>
              <w:t>Phase 4:</w:t>
            </w:r>
          </w:p>
          <w:p w14:paraId="4C0E355D" w14:textId="77777777" w:rsidR="00F77B06" w:rsidRDefault="00000000">
            <w:pPr>
              <w:spacing w:after="40"/>
            </w:pPr>
            <w:r>
              <w:rPr>
                <w:b/>
                <w:bCs/>
                <w:color w:val="333333"/>
                <w:sz w:val="19"/>
                <w:szCs w:val="19"/>
              </w:rPr>
              <w:t>Scale</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221F87" w14:textId="77777777" w:rsidR="00F77B06" w:rsidRDefault="00000000">
            <w:pPr>
              <w:spacing w:after="40"/>
            </w:pPr>
            <w:r>
              <w:rPr>
                <w:color w:val="333333"/>
                <w:sz w:val="19"/>
                <w:szCs w:val="19"/>
              </w:rPr>
              <w:t>2037–2042</w:t>
            </w:r>
          </w:p>
          <w:p w14:paraId="302069B7" w14:textId="77777777" w:rsidR="00F77B06" w:rsidRDefault="00000000">
            <w:pPr>
              <w:spacing w:after="40"/>
            </w:pPr>
            <w:r>
              <w:rPr>
                <w:color w:val="333333"/>
                <w:sz w:val="19"/>
                <w:szCs w:val="19"/>
              </w:rPr>
              <w:t>(Years 11–16)</w:t>
            </w:r>
          </w:p>
        </w:tc>
        <w:tc>
          <w:tcPr>
            <w:tcW w:w="4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846BFE" w14:textId="77777777" w:rsidR="00F77B06" w:rsidRDefault="00000000">
            <w:pPr>
              <w:spacing w:after="40"/>
            </w:pPr>
            <w:r>
              <w:rPr>
                <w:color w:val="333333"/>
                <w:sz w:val="19"/>
                <w:szCs w:val="19"/>
              </w:rPr>
              <w:t>10–20 GW nuclear fleet. Australia as top-5 global data centre market. Full uranium value chain operational. Wholesale prices fall 30%+.</w:t>
            </w:r>
          </w:p>
        </w:tc>
      </w:tr>
    </w:tbl>
    <w:p w14:paraId="23B01346" w14:textId="77777777" w:rsidR="00F77B06" w:rsidRDefault="00F77B06">
      <w:pPr>
        <w:spacing w:after="120"/>
      </w:pPr>
    </w:p>
    <w:p w14:paraId="34E03607" w14:textId="77777777" w:rsidR="00F77B06" w:rsidRDefault="00000000">
      <w:pPr>
        <w:pStyle w:val="Heading1"/>
      </w:pPr>
      <w:r>
        <w:t>PART VI: CONCLUSION</w:t>
      </w:r>
    </w:p>
    <w:p w14:paraId="18858878" w14:textId="77777777" w:rsidR="00F77B06" w:rsidRDefault="00000000">
      <w:pPr>
        <w:spacing w:after="160" w:line="300" w:lineRule="auto"/>
        <w:jc w:val="both"/>
      </w:pPr>
      <w:r>
        <w:rPr>
          <w:color w:val="333333"/>
        </w:rPr>
        <w:t>Australia does not face a choice between prosperity and responsibility. It faces a choice between pragmatism and ideology.</w:t>
      </w:r>
    </w:p>
    <w:p w14:paraId="55D11E39" w14:textId="77777777" w:rsidR="00F77B06" w:rsidRDefault="00000000">
      <w:pPr>
        <w:spacing w:after="160" w:line="300" w:lineRule="auto"/>
        <w:jc w:val="both"/>
      </w:pPr>
      <w:r>
        <w:rPr>
          <w:color w:val="333333"/>
        </w:rPr>
        <w:t xml:space="preserve">The ideological path — a forced-march to intermittent renewables, the premature destruction of reliable generation, and the prohibition of the one zero-emission baseload technology used </w:t>
      </w:r>
      <w:r>
        <w:rPr>
          <w:color w:val="333333"/>
        </w:rPr>
        <w:lastRenderedPageBreak/>
        <w:t>by every other advanced economy — leads to higher prices, grid instability, deindustrialisation, and strategic irrelevance in the AI age.</w:t>
      </w:r>
    </w:p>
    <w:p w14:paraId="528162DC" w14:textId="77777777" w:rsidR="00F77B06" w:rsidRDefault="00000000">
      <w:pPr>
        <w:spacing w:after="160" w:line="300" w:lineRule="auto"/>
        <w:jc w:val="both"/>
      </w:pPr>
      <w:r>
        <w:rPr>
          <w:color w:val="333333"/>
        </w:rPr>
        <w:t>The pragmatic path — the Hybrid Energy Strategy — keeps the lights on today with our existing coal and gas assets, builds the nuclear backbone of tomorrow, retains the renewable technologies that earn their place on merit, and positions Australia to capture the greatest energy opportunity of the twenty-first century: powering the global AI revolution.</w:t>
      </w:r>
    </w:p>
    <w:p w14:paraId="48BA7487" w14:textId="77777777" w:rsidR="00F77B06" w:rsidRDefault="00000000">
      <w:pPr>
        <w:pBdr>
          <w:left w:val="single" w:sz="6" w:space="8" w:color="C5960C"/>
        </w:pBdr>
        <w:spacing w:after="200" w:line="300" w:lineRule="auto"/>
        <w:ind w:left="720" w:right="720"/>
        <w:jc w:val="both"/>
      </w:pPr>
      <w:r>
        <w:rPr>
          <w:i/>
          <w:iCs/>
          <w:color w:val="1B2A4A"/>
        </w:rPr>
        <w:t>We will not apologise for keeping Australian power stations running. We will not apologise for mining the fuel that the world needs. And we will not apologise for building a nuclear industry that every serious country on Earth already has.</w:t>
      </w:r>
    </w:p>
    <w:p w14:paraId="34153A62" w14:textId="77777777" w:rsidR="00F77B06" w:rsidRDefault="00000000">
      <w:pPr>
        <w:spacing w:after="160" w:line="300" w:lineRule="auto"/>
        <w:jc w:val="both"/>
      </w:pPr>
      <w:r>
        <w:rPr>
          <w:color w:val="333333"/>
        </w:rPr>
        <w:t>This is energy policy for grown-ups. This is the Hybrid Energy Strategy. This is the path to a stronger, more prosperous, more sovereign Australia.</w:t>
      </w:r>
    </w:p>
    <w:p w14:paraId="2D6D8530" w14:textId="77777777" w:rsidR="00F77B06" w:rsidRDefault="00F77B06">
      <w:pPr>
        <w:spacing w:after="120"/>
      </w:pPr>
    </w:p>
    <w:p w14:paraId="5D9B5622" w14:textId="77777777" w:rsidR="00F77B06" w:rsidRDefault="00000000">
      <w:pPr>
        <w:pBdr>
          <w:top w:val="single" w:sz="2" w:space="12" w:color="C5960C"/>
        </w:pBdr>
        <w:spacing w:before="400" w:after="60"/>
      </w:pPr>
      <w:r>
        <w:rPr>
          <w:i/>
          <w:iCs/>
          <w:color w:val="666666"/>
          <w:sz w:val="20"/>
          <w:szCs w:val="20"/>
        </w:rPr>
        <w:t>Authorised and endorsed by:</w:t>
      </w:r>
    </w:p>
    <w:p w14:paraId="2B442C12" w14:textId="2C0E1B7C" w:rsidR="00F77B06" w:rsidRDefault="00A3352E">
      <w:pPr>
        <w:spacing w:after="40"/>
      </w:pPr>
      <w:r>
        <w:rPr>
          <w:b/>
          <w:bCs/>
          <w:color w:val="1B2A4A"/>
        </w:rPr>
        <w:t>Nobody yet</w:t>
      </w:r>
    </w:p>
    <w:p w14:paraId="5E60D05C" w14:textId="34411C18" w:rsidR="00F77B06" w:rsidRDefault="00F77B06"/>
    <w:sectPr w:rsidR="00F77B06">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D95F" w14:textId="77777777" w:rsidR="00445C6F" w:rsidRDefault="00445C6F">
      <w:r>
        <w:separator/>
      </w:r>
    </w:p>
  </w:endnote>
  <w:endnote w:type="continuationSeparator" w:id="0">
    <w:p w14:paraId="140B20A0" w14:textId="77777777" w:rsidR="00445C6F" w:rsidRDefault="0044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73D7" w14:textId="77777777" w:rsidR="00F77B06" w:rsidRDefault="00000000">
    <w:pPr>
      <w:pBdr>
        <w:top w:val="single" w:sz="2" w:space="4" w:color="C5960C"/>
      </w:pBd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A3352E">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82F4" w14:textId="77777777" w:rsidR="00445C6F" w:rsidRDefault="00445C6F">
      <w:r>
        <w:separator/>
      </w:r>
    </w:p>
  </w:footnote>
  <w:footnote w:type="continuationSeparator" w:id="0">
    <w:p w14:paraId="33FB1EF6" w14:textId="77777777" w:rsidR="00445C6F" w:rsidRDefault="0044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13B3" w14:textId="77777777" w:rsidR="00F77B06" w:rsidRDefault="00000000">
    <w:pPr>
      <w:pBdr>
        <w:bottom w:val="single" w:sz="2" w:space="4" w:color="C5960C"/>
      </w:pBdr>
      <w:jc w:val="right"/>
    </w:pPr>
    <w:r>
      <w:rPr>
        <w:i/>
        <w:iCs/>
        <w:color w:val="666666"/>
        <w:sz w:val="16"/>
        <w:szCs w:val="16"/>
      </w:rPr>
      <w:t xml:space="preserve">Powering Australia’s Future  </w:t>
    </w:r>
    <w:r>
      <w:rPr>
        <w:color w:val="C5960C"/>
        <w:sz w:val="16"/>
        <w:szCs w:val="16"/>
      </w:rPr>
      <w:t>|  Australian National Alliance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401"/>
    <w:multiLevelType w:val="hybridMultilevel"/>
    <w:tmpl w:val="93F81DA2"/>
    <w:lvl w:ilvl="0" w:tplc="312A8640">
      <w:start w:val="1"/>
      <w:numFmt w:val="decimal"/>
      <w:lvlText w:val="%1."/>
      <w:lvlJc w:val="left"/>
      <w:pPr>
        <w:ind w:left="720" w:hanging="360"/>
      </w:pPr>
    </w:lvl>
    <w:lvl w:ilvl="1" w:tplc="C818DF9A">
      <w:numFmt w:val="decimal"/>
      <w:lvlText w:val=""/>
      <w:lvlJc w:val="left"/>
    </w:lvl>
    <w:lvl w:ilvl="2" w:tplc="CDD2A742">
      <w:numFmt w:val="decimal"/>
      <w:lvlText w:val=""/>
      <w:lvlJc w:val="left"/>
    </w:lvl>
    <w:lvl w:ilvl="3" w:tplc="0102FE74">
      <w:numFmt w:val="decimal"/>
      <w:lvlText w:val=""/>
      <w:lvlJc w:val="left"/>
    </w:lvl>
    <w:lvl w:ilvl="4" w:tplc="72FA4620">
      <w:numFmt w:val="decimal"/>
      <w:lvlText w:val=""/>
      <w:lvlJc w:val="left"/>
    </w:lvl>
    <w:lvl w:ilvl="5" w:tplc="BA4ED622">
      <w:numFmt w:val="decimal"/>
      <w:lvlText w:val=""/>
      <w:lvlJc w:val="left"/>
    </w:lvl>
    <w:lvl w:ilvl="6" w:tplc="81BC6E66">
      <w:numFmt w:val="decimal"/>
      <w:lvlText w:val=""/>
      <w:lvlJc w:val="left"/>
    </w:lvl>
    <w:lvl w:ilvl="7" w:tplc="C4E4F362">
      <w:numFmt w:val="decimal"/>
      <w:lvlText w:val=""/>
      <w:lvlJc w:val="left"/>
    </w:lvl>
    <w:lvl w:ilvl="8" w:tplc="A7D0712A">
      <w:numFmt w:val="decimal"/>
      <w:lvlText w:val=""/>
      <w:lvlJc w:val="left"/>
    </w:lvl>
  </w:abstractNum>
  <w:abstractNum w:abstractNumId="1" w15:restartNumberingAfterBreak="0">
    <w:nsid w:val="1FC62C22"/>
    <w:multiLevelType w:val="hybridMultilevel"/>
    <w:tmpl w:val="EC80B0C4"/>
    <w:lvl w:ilvl="0" w:tplc="E56CEF44">
      <w:start w:val="1"/>
      <w:numFmt w:val="bullet"/>
      <w:lvlText w:val="●"/>
      <w:lvlJc w:val="left"/>
      <w:pPr>
        <w:ind w:left="720" w:hanging="360"/>
      </w:pPr>
    </w:lvl>
    <w:lvl w:ilvl="1" w:tplc="BB985120">
      <w:start w:val="1"/>
      <w:numFmt w:val="bullet"/>
      <w:lvlText w:val="○"/>
      <w:lvlJc w:val="left"/>
      <w:pPr>
        <w:ind w:left="1440" w:hanging="360"/>
      </w:pPr>
    </w:lvl>
    <w:lvl w:ilvl="2" w:tplc="B2A29F36">
      <w:start w:val="1"/>
      <w:numFmt w:val="bullet"/>
      <w:lvlText w:val="■"/>
      <w:lvlJc w:val="left"/>
      <w:pPr>
        <w:ind w:left="2160" w:hanging="360"/>
      </w:pPr>
    </w:lvl>
    <w:lvl w:ilvl="3" w:tplc="6B564B14">
      <w:start w:val="1"/>
      <w:numFmt w:val="bullet"/>
      <w:lvlText w:val="●"/>
      <w:lvlJc w:val="left"/>
      <w:pPr>
        <w:ind w:left="2880" w:hanging="360"/>
      </w:pPr>
    </w:lvl>
    <w:lvl w:ilvl="4" w:tplc="8BEA2948">
      <w:start w:val="1"/>
      <w:numFmt w:val="bullet"/>
      <w:lvlText w:val="○"/>
      <w:lvlJc w:val="left"/>
      <w:pPr>
        <w:ind w:left="3600" w:hanging="360"/>
      </w:pPr>
    </w:lvl>
    <w:lvl w:ilvl="5" w:tplc="00A639DC">
      <w:start w:val="1"/>
      <w:numFmt w:val="bullet"/>
      <w:lvlText w:val="■"/>
      <w:lvlJc w:val="left"/>
      <w:pPr>
        <w:ind w:left="4320" w:hanging="360"/>
      </w:pPr>
    </w:lvl>
    <w:lvl w:ilvl="6" w:tplc="FDECEB60">
      <w:start w:val="1"/>
      <w:numFmt w:val="bullet"/>
      <w:lvlText w:val="●"/>
      <w:lvlJc w:val="left"/>
      <w:pPr>
        <w:ind w:left="5040" w:hanging="360"/>
      </w:pPr>
    </w:lvl>
    <w:lvl w:ilvl="7" w:tplc="54747662">
      <w:start w:val="1"/>
      <w:numFmt w:val="bullet"/>
      <w:lvlText w:val="●"/>
      <w:lvlJc w:val="left"/>
      <w:pPr>
        <w:ind w:left="5760" w:hanging="360"/>
      </w:pPr>
    </w:lvl>
    <w:lvl w:ilvl="8" w:tplc="21F89388">
      <w:start w:val="1"/>
      <w:numFmt w:val="bullet"/>
      <w:lvlText w:val="●"/>
      <w:lvlJc w:val="left"/>
      <w:pPr>
        <w:ind w:left="6480" w:hanging="360"/>
      </w:pPr>
    </w:lvl>
  </w:abstractNum>
  <w:abstractNum w:abstractNumId="2" w15:restartNumberingAfterBreak="0">
    <w:nsid w:val="27733254"/>
    <w:multiLevelType w:val="hybridMultilevel"/>
    <w:tmpl w:val="F1142A0C"/>
    <w:lvl w:ilvl="0" w:tplc="53AC3D72">
      <w:start w:val="1"/>
      <w:numFmt w:val="bullet"/>
      <w:lvlText w:val="▪"/>
      <w:lvlJc w:val="left"/>
      <w:pPr>
        <w:ind w:left="720" w:hanging="360"/>
      </w:pPr>
    </w:lvl>
    <w:lvl w:ilvl="1" w:tplc="AF723442">
      <w:numFmt w:val="decimal"/>
      <w:lvlText w:val=""/>
      <w:lvlJc w:val="left"/>
    </w:lvl>
    <w:lvl w:ilvl="2" w:tplc="248A2446">
      <w:numFmt w:val="decimal"/>
      <w:lvlText w:val=""/>
      <w:lvlJc w:val="left"/>
    </w:lvl>
    <w:lvl w:ilvl="3" w:tplc="DE54C25A">
      <w:numFmt w:val="decimal"/>
      <w:lvlText w:val=""/>
      <w:lvlJc w:val="left"/>
    </w:lvl>
    <w:lvl w:ilvl="4" w:tplc="6F2426C8">
      <w:numFmt w:val="decimal"/>
      <w:lvlText w:val=""/>
      <w:lvlJc w:val="left"/>
    </w:lvl>
    <w:lvl w:ilvl="5" w:tplc="0B225378">
      <w:numFmt w:val="decimal"/>
      <w:lvlText w:val=""/>
      <w:lvlJc w:val="left"/>
    </w:lvl>
    <w:lvl w:ilvl="6" w:tplc="7714D32A">
      <w:numFmt w:val="decimal"/>
      <w:lvlText w:val=""/>
      <w:lvlJc w:val="left"/>
    </w:lvl>
    <w:lvl w:ilvl="7" w:tplc="9B022F92">
      <w:numFmt w:val="decimal"/>
      <w:lvlText w:val=""/>
      <w:lvlJc w:val="left"/>
    </w:lvl>
    <w:lvl w:ilvl="8" w:tplc="656C5E2C">
      <w:numFmt w:val="decimal"/>
      <w:lvlText w:val=""/>
      <w:lvlJc w:val="left"/>
    </w:lvl>
  </w:abstractNum>
  <w:abstractNum w:abstractNumId="3" w15:restartNumberingAfterBreak="0">
    <w:nsid w:val="7A0155AA"/>
    <w:multiLevelType w:val="hybridMultilevel"/>
    <w:tmpl w:val="58C4EF48"/>
    <w:lvl w:ilvl="0" w:tplc="222408D4">
      <w:start w:val="1"/>
      <w:numFmt w:val="lowerRoman"/>
      <w:lvlText w:val="%1."/>
      <w:lvlJc w:val="left"/>
      <w:pPr>
        <w:ind w:left="720" w:hanging="360"/>
      </w:pPr>
    </w:lvl>
    <w:lvl w:ilvl="1" w:tplc="E6ACF656">
      <w:numFmt w:val="decimal"/>
      <w:lvlText w:val=""/>
      <w:lvlJc w:val="left"/>
    </w:lvl>
    <w:lvl w:ilvl="2" w:tplc="D62A901C">
      <w:numFmt w:val="decimal"/>
      <w:lvlText w:val=""/>
      <w:lvlJc w:val="left"/>
    </w:lvl>
    <w:lvl w:ilvl="3" w:tplc="2304C5CA">
      <w:numFmt w:val="decimal"/>
      <w:lvlText w:val=""/>
      <w:lvlJc w:val="left"/>
    </w:lvl>
    <w:lvl w:ilvl="4" w:tplc="52C81B4E">
      <w:numFmt w:val="decimal"/>
      <w:lvlText w:val=""/>
      <w:lvlJc w:val="left"/>
    </w:lvl>
    <w:lvl w:ilvl="5" w:tplc="0846D6D6">
      <w:numFmt w:val="decimal"/>
      <w:lvlText w:val=""/>
      <w:lvlJc w:val="left"/>
    </w:lvl>
    <w:lvl w:ilvl="6" w:tplc="566CE7F8">
      <w:numFmt w:val="decimal"/>
      <w:lvlText w:val=""/>
      <w:lvlJc w:val="left"/>
    </w:lvl>
    <w:lvl w:ilvl="7" w:tplc="B6DC9E42">
      <w:numFmt w:val="decimal"/>
      <w:lvlText w:val=""/>
      <w:lvlJc w:val="left"/>
    </w:lvl>
    <w:lvl w:ilvl="8" w:tplc="DBDC1ABA">
      <w:numFmt w:val="decimal"/>
      <w:lvlText w:val=""/>
      <w:lvlJc w:val="left"/>
    </w:lvl>
  </w:abstractNum>
  <w:num w:numId="1" w16cid:durableId="1484153123">
    <w:abstractNumId w:val="1"/>
    <w:lvlOverride w:ilvl="0">
      <w:startOverride w:val="1"/>
    </w:lvlOverride>
  </w:num>
  <w:num w:numId="2" w16cid:durableId="908885918">
    <w:abstractNumId w:val="0"/>
    <w:lvlOverride w:ilvl="0">
      <w:startOverride w:val="1"/>
    </w:lvlOverride>
  </w:num>
  <w:num w:numId="3" w16cid:durableId="43544688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06"/>
    <w:rsid w:val="00445C6F"/>
    <w:rsid w:val="00A3352E"/>
    <w:rsid w:val="00CB78EF"/>
    <w:rsid w:val="00F77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A143"/>
  <w15:docId w15:val="{CEC36C1D-4783-45B4-BF21-F482F7C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C5960C"/>
      </w:pBdr>
      <w:spacing w:before="360" w:after="200"/>
      <w:outlineLvl w:val="0"/>
    </w:pPr>
    <w:rPr>
      <w:b/>
      <w:bCs/>
      <w:color w:val="1B2A4A"/>
      <w:sz w:val="36"/>
      <w:szCs w:val="36"/>
    </w:rPr>
  </w:style>
  <w:style w:type="paragraph" w:styleId="Heading2">
    <w:name w:val="heading 2"/>
    <w:uiPriority w:val="9"/>
    <w:unhideWhenUsed/>
    <w:qFormat/>
    <w:pPr>
      <w:spacing w:before="280" w:after="160"/>
      <w:outlineLvl w:val="1"/>
    </w:pPr>
    <w:rPr>
      <w:b/>
      <w:bCs/>
      <w:color w:val="1B2A4A"/>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3534</Words>
  <Characters>21352</Characters>
  <Application>Microsoft Office Word</Application>
  <DocSecurity>0</DocSecurity>
  <Lines>410</Lines>
  <Paragraphs>177</Paragraphs>
  <ScaleCrop>false</ScaleCrop>
  <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Dennis Price</cp:lastModifiedBy>
  <cp:revision>2</cp:revision>
  <dcterms:created xsi:type="dcterms:W3CDTF">2026-02-13T02:22:00Z</dcterms:created>
  <dcterms:modified xsi:type="dcterms:W3CDTF">2026-02-13T02:22:00Z</dcterms:modified>
</cp:coreProperties>
</file>